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B9" w:rsidRDefault="00AD3AB9" w:rsidP="00AD3AB9">
      <w:pPr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C4608A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93A74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93A74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93A74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533C2E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533C2E" w:rsidRDefault="00F93A74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93A74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0C6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93A74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C0D96" w:rsidRPr="00533C2E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B30894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0E2D0C" w:rsidTr="00B30894">
        <w:tc>
          <w:tcPr>
            <w:tcW w:w="9747" w:type="dxa"/>
            <w:vAlign w:val="center"/>
          </w:tcPr>
          <w:p w:rsidR="005E5769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5E5769" w:rsidRPr="00533C2E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9312EB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:rsidR="005E5769" w:rsidRPr="009B3F5D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9312EB" w:rsidRPr="000E2D0C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9B3F5D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t xml:space="preserve">1. </w:t>
            </w:r>
            <w:r w:rsidR="00A240D8"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C4608A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57082D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Наведете детални информации за вашата организација и квалификациите кои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lastRenderedPageBreak/>
              <w:t>истата ги поседува за имплементација на предлог проектот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:rsidR="00FC0D96" w:rsidRPr="0057082D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57082D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0E2D0C" w:rsidTr="007104B2">
              <w:tc>
                <w:tcPr>
                  <w:tcW w:w="2065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57082D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24"/>
              <w:gridCol w:w="1475"/>
              <w:gridCol w:w="1528"/>
              <w:gridCol w:w="919"/>
              <w:gridCol w:w="1532"/>
              <w:gridCol w:w="1488"/>
              <w:gridCol w:w="1255"/>
            </w:tblGrid>
            <w:tr w:rsidR="003471F5" w:rsidRPr="000E2D0C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Функцијаво организацијата</w:t>
                  </w: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:rsidR="003471F5" w:rsidRPr="0057082D" w:rsidRDefault="003471F5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</w:p>
              </w:tc>
            </w:tr>
            <w:tr w:rsidR="003471F5" w:rsidRPr="000E2D0C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0E2D0C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="00972022" w:rsidRPr="00B1196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(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>CV</w:t>
            </w:r>
            <w:r w:rsidR="00972022" w:rsidRPr="00B1196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00"/>
              <w:gridCol w:w="1572"/>
              <w:gridCol w:w="1568"/>
              <w:gridCol w:w="1609"/>
              <w:gridCol w:w="1575"/>
              <w:gridCol w:w="1597"/>
            </w:tblGrid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Тема/област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7082D" w:rsidTr="00CF05BE">
              <w:tc>
                <w:tcPr>
                  <w:tcW w:w="160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Тема/област</w:t>
                  </w:r>
                </w:p>
              </w:tc>
              <w:tc>
                <w:tcPr>
                  <w:tcW w:w="1566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0"/>
              <w:gridCol w:w="5891"/>
            </w:tblGrid>
            <w:tr w:rsidR="00CF05BE" w:rsidRPr="0057082D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57082D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C4608A" w:rsidTr="007104B2">
              <w:tc>
                <w:tcPr>
                  <w:tcW w:w="3685" w:type="dxa"/>
                </w:tcPr>
                <w:p w:rsidR="007104B2" w:rsidRPr="009B3F5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9B3F5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312EB" w:rsidRPr="009B3F5D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2. </w:t>
            </w:r>
            <w:r w:rsidR="00CF05B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0E2D0C" w:rsidTr="001D13E6">
        <w:tc>
          <w:tcPr>
            <w:tcW w:w="9747" w:type="dxa"/>
            <w:vAlign w:val="center"/>
          </w:tcPr>
          <w:p w:rsidR="00061494" w:rsidRPr="009B3F5D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061494" w:rsidRPr="009B3F5D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="00650065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делРЕЛЕВАНТНОСТ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:rsidR="009312EB" w:rsidRPr="009B3F5D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0E2D0C" w:rsidTr="00AE6859">
        <w:tc>
          <w:tcPr>
            <w:tcW w:w="9963" w:type="dxa"/>
            <w:vAlign w:val="center"/>
          </w:tcPr>
          <w:p w:rsidR="00FC0D96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A575C3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0E2D0C" w:rsidTr="00AE6859">
        <w:tc>
          <w:tcPr>
            <w:tcW w:w="9963" w:type="dxa"/>
            <w:vAlign w:val="center"/>
          </w:tcPr>
          <w:p w:rsidR="0016365E" w:rsidRPr="003E2A2E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910BF" w:rsidRPr="003E2A2E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:rsidR="002516B8" w:rsidRPr="003E2A2E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16365E" w:rsidRPr="003E2A2E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3E2A2E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16365E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0E2D0C" w:rsidTr="001D13E6">
        <w:tc>
          <w:tcPr>
            <w:tcW w:w="9747" w:type="dxa"/>
            <w:vAlign w:val="center"/>
          </w:tcPr>
          <w:p w:rsidR="009312EB" w:rsidRPr="00533C2E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:rsidR="009312EB" w:rsidRPr="00533C2E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E76E59" w:rsidRPr="009B3F5D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</w:p>
          <w:p w:rsidR="00F1518F" w:rsidRPr="009B3F5D" w:rsidRDefault="00F1518F" w:rsidP="00F1518F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0E2D0C" w:rsidTr="001D13E6">
        <w:tc>
          <w:tcPr>
            <w:tcW w:w="9747" w:type="dxa"/>
            <w:vAlign w:val="center"/>
          </w:tcPr>
          <w:p w:rsidR="009312EB" w:rsidRPr="009B3F5D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 w:rsid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2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3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BB4E3A" w:rsidRPr="009B3F5D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</w:p>
        </w:tc>
      </w:tr>
      <w:tr w:rsidR="009312EB" w:rsidRPr="000E2D0C" w:rsidTr="00DA2153">
        <w:tc>
          <w:tcPr>
            <w:tcW w:w="9969" w:type="dxa"/>
            <w:vAlign w:val="center"/>
          </w:tcPr>
          <w:p w:rsidR="009312EB" w:rsidRPr="00E37D0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E37D0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4D34D2" w:rsidRPr="00E37D0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03E41" w:rsidRPr="00E37D0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0E2D0C" w:rsidTr="00BB4E3A">
        <w:tc>
          <w:tcPr>
            <w:tcW w:w="9963" w:type="dxa"/>
            <w:vAlign w:val="center"/>
          </w:tcPr>
          <w:p w:rsidR="009312EB" w:rsidRPr="00533C2E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:rsidTr="00BB4E3A">
        <w:tc>
          <w:tcPr>
            <w:tcW w:w="9963" w:type="dxa"/>
            <w:shd w:val="clear" w:color="auto" w:fill="005499"/>
            <w:vAlign w:val="center"/>
          </w:tcPr>
          <w:p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0E2D0C" w:rsidTr="00BB4E3A">
        <w:tc>
          <w:tcPr>
            <w:tcW w:w="9963" w:type="dxa"/>
            <w:vAlign w:val="center"/>
          </w:tcPr>
          <w:p w:rsidR="00B03E41" w:rsidRPr="000A2AC6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9B3F5D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</w:p>
        </w:tc>
      </w:tr>
      <w:tr w:rsidR="009312EB" w:rsidRPr="000E2D0C" w:rsidTr="00DA2153">
        <w:tc>
          <w:tcPr>
            <w:tcW w:w="9969" w:type="dxa"/>
            <w:vAlign w:val="center"/>
          </w:tcPr>
          <w:p w:rsidR="009312EB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:rsidR="00BF11FF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E749B8" w:rsidRPr="00533C2E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F11FF" w:rsidRPr="009B3F5D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963"/>
      </w:tblGrid>
      <w:tr w:rsidR="009312EB" w:rsidRPr="00533C2E" w:rsidTr="003F6D1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0E2D0C" w:rsidTr="003F6D1A">
        <w:tc>
          <w:tcPr>
            <w:tcW w:w="9963" w:type="dxa"/>
            <w:vAlign w:val="center"/>
          </w:tcPr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500 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(Ве молиме да не го копирате буџетот од табелата туку да го образложите).</w:t>
            </w:r>
          </w:p>
        </w:tc>
      </w:tr>
    </w:tbl>
    <w:p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BF11FF" w:rsidRPr="00533C2E" w:rsidTr="00BF11FF">
        <w:tc>
          <w:tcPr>
            <w:tcW w:w="9963" w:type="dxa"/>
            <w:shd w:val="clear" w:color="auto" w:fill="005499"/>
            <w:vAlign w:val="center"/>
          </w:tcPr>
          <w:p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0E2D0C" w:rsidTr="00BF11FF">
        <w:tc>
          <w:tcPr>
            <w:tcW w:w="9963" w:type="dxa"/>
            <w:vAlign w:val="center"/>
          </w:tcPr>
          <w:p w:rsidR="00044759" w:rsidRPr="009B3F5D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BF11FF" w:rsidRPr="009B3F5D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A7B3B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7B08C2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D43800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</w:r>
      <w:r w:rsidR="00B1196A">
        <w:rPr>
          <w:rFonts w:asciiTheme="minorHAnsi" w:hAnsiTheme="minorHAnsi" w:cstheme="minorHAnsi"/>
          <w:sz w:val="20"/>
          <w:lang w:val="mk-MK"/>
        </w:rPr>
        <w:t>Правилник</w:t>
      </w:r>
    </w:p>
    <w:p w:rsidR="004B7F2F" w:rsidRPr="001A7B3B" w:rsidRDefault="004B7F2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4B7F2F">
        <w:rPr>
          <w:rFonts w:asciiTheme="minorHAnsi" w:hAnsiTheme="minorHAnsi" w:cstheme="minorHAnsi"/>
          <w:b/>
          <w:bCs/>
          <w:color w:val="1F497D" w:themeColor="text2"/>
          <w:sz w:val="20"/>
          <w:lang w:val="mk-MK"/>
        </w:rPr>
        <w:t>Анекс 11</w:t>
      </w:r>
      <w:r>
        <w:rPr>
          <w:rFonts w:asciiTheme="minorHAnsi" w:hAnsiTheme="minorHAnsi" w:cstheme="minorHAnsi"/>
          <w:sz w:val="20"/>
          <w:lang w:val="mk-MK"/>
        </w:rPr>
        <w:t xml:space="preserve">       Насоки</w:t>
      </w:r>
    </w:p>
    <w:p w:rsidR="009312EB" w:rsidRPr="009B3F5D" w:rsidRDefault="009312EB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  <w:bookmarkStart w:id="0" w:name="_GoBack"/>
      <w:bookmarkEnd w:id="0"/>
    </w:p>
    <w:p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</w:p>
    <w:sectPr w:rsidR="00DF7AA8" w:rsidRPr="009B3F5D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B8" w:rsidRDefault="005D52B8">
      <w:r>
        <w:separator/>
      </w:r>
    </w:p>
  </w:endnote>
  <w:endnote w:type="continuationSeparator" w:id="1">
    <w:p w:rsidR="005D52B8" w:rsidRDefault="005D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2B8" w:rsidRDefault="00F93A74" w:rsidP="001D13E6">
        <w:pPr>
          <w:pStyle w:val="Footer"/>
          <w:jc w:val="right"/>
        </w:pPr>
        <w:r>
          <w:fldChar w:fldCharType="begin"/>
        </w:r>
        <w:r w:rsidR="000E2D0C">
          <w:instrText xml:space="preserve"> PAGE   \* MERGEFORMAT </w:instrText>
        </w:r>
        <w:r>
          <w:fldChar w:fldCharType="separate"/>
        </w:r>
        <w:r w:rsidR="007B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2B8" w:rsidRDefault="005D52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2B8" w:rsidRDefault="00F93A74">
        <w:pPr>
          <w:pStyle w:val="Footer"/>
          <w:jc w:val="right"/>
        </w:pPr>
        <w:r>
          <w:fldChar w:fldCharType="begin"/>
        </w:r>
        <w:r w:rsidR="000E2D0C">
          <w:instrText xml:space="preserve"> PAGE   \* MERGEFORMAT </w:instrText>
        </w:r>
        <w:r>
          <w:fldChar w:fldCharType="separate"/>
        </w:r>
        <w:r w:rsidR="007B0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2B8" w:rsidRPr="001D13E6" w:rsidRDefault="005D52B8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B8" w:rsidRDefault="005D52B8">
      <w:r>
        <w:separator/>
      </w:r>
    </w:p>
  </w:footnote>
  <w:footnote w:type="continuationSeparator" w:id="1">
    <w:p w:rsidR="005D52B8" w:rsidRDefault="005D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B8" w:rsidRPr="00AD3AB9" w:rsidRDefault="005D52B8" w:rsidP="00AD3AB9">
    <w:pPr>
      <w:pStyle w:val="Header"/>
      <w:jc w:val="center"/>
    </w:pPr>
    <w:r>
      <w:rPr>
        <w:noProof/>
      </w:rPr>
      <w:drawing>
        <wp:inline distT="0" distB="0" distL="0" distR="0">
          <wp:extent cx="1419225" cy="1288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19" cy="129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36f,#33f"/>
    </o:shapedefaults>
  </w:hdrShapeDefaults>
  <w:footnotePr>
    <w:footnote w:id="0"/>
    <w:footnote w:id="1"/>
  </w:footnotePr>
  <w:endnotePr>
    <w:endnote w:id="0"/>
    <w:endnote w:id="1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2D0C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8113B"/>
    <w:rsid w:val="003815F5"/>
    <w:rsid w:val="0039371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B7F2F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2FC7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1EB7"/>
    <w:rsid w:val="005C24E9"/>
    <w:rsid w:val="005C2AFD"/>
    <w:rsid w:val="005D0C4F"/>
    <w:rsid w:val="005D1CF0"/>
    <w:rsid w:val="005D2BEA"/>
    <w:rsid w:val="005D47CD"/>
    <w:rsid w:val="005D52B8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08C2"/>
    <w:rsid w:val="007B4320"/>
    <w:rsid w:val="007C375C"/>
    <w:rsid w:val="007D467A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22B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BB2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5BB8"/>
    <w:rsid w:val="00985ED8"/>
    <w:rsid w:val="00996A6E"/>
    <w:rsid w:val="009A186D"/>
    <w:rsid w:val="009A6CAD"/>
    <w:rsid w:val="009B0962"/>
    <w:rsid w:val="009B3F5D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3AB9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1196A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3A74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f,#33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4439-510E-4C1D-9774-C687D3C6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DELL</cp:lastModifiedBy>
  <cp:revision>9</cp:revision>
  <cp:lastPrinted>2022-01-03T11:58:00Z</cp:lastPrinted>
  <dcterms:created xsi:type="dcterms:W3CDTF">2018-10-22T07:16:00Z</dcterms:created>
  <dcterms:modified xsi:type="dcterms:W3CDTF">2024-02-01T10:37:00Z</dcterms:modified>
</cp:coreProperties>
</file>