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653D" w:rsidRPr="00F23626" w:rsidRDefault="00F2653D">
      <w:pPr>
        <w:ind w:left="7200"/>
        <w:jc w:val="center"/>
        <w:rPr>
          <w:rFonts w:ascii="MS Reference Sans Serif" w:eastAsia="StobiSerif Regular" w:hAnsi="MS Reference Sans Serif" w:cs="StobiSerif Regular"/>
          <w:sz w:val="22"/>
          <w:szCs w:val="22"/>
          <w:lang w:val="mk-MK"/>
        </w:rPr>
      </w:pPr>
    </w:p>
    <w:p w:rsidR="001C5FBD" w:rsidRPr="001C5FBD" w:rsidRDefault="00270718" w:rsidP="001C5FBD">
      <w:pPr>
        <w:ind w:firstLine="720"/>
        <w:jc w:val="both"/>
        <w:rPr>
          <w:rFonts w:ascii="StobiSerif Regular" w:hAnsi="StobiSerif Regular"/>
          <w:sz w:val="24"/>
          <w:szCs w:val="24"/>
        </w:rPr>
      </w:pPr>
      <w:r>
        <w:rPr>
          <w:rFonts w:ascii="StobiSerif Regular" w:hAnsi="StobiSerif Regular"/>
          <w:sz w:val="24"/>
          <w:szCs w:val="24"/>
        </w:rPr>
        <w:t xml:space="preserve">   </w:t>
      </w:r>
      <w:r w:rsidR="001C5FBD" w:rsidRPr="001C5FBD">
        <w:rPr>
          <w:rFonts w:ascii="StobiSerif Regular" w:hAnsi="StobiSerif Regular"/>
          <w:sz w:val="24"/>
          <w:szCs w:val="24"/>
        </w:rPr>
        <w:t xml:space="preserve">   Врз основа на член 22 точка 4 и член  36 став 1 точка 15 од  Законот за локална самоуправа </w:t>
      </w:r>
      <w:r w:rsidR="001C5FBD" w:rsidRPr="001C5FBD">
        <w:rPr>
          <w:rFonts w:ascii="StobiSerif Regular" w:hAnsi="StobiSerif Regular"/>
          <w:color w:val="000000"/>
          <w:sz w:val="24"/>
          <w:szCs w:val="24"/>
        </w:rPr>
        <w:t>(“Службен весник на РМ" бр.5/02 и "Службен весник на РСМ" бр.202/24</w:t>
      </w:r>
      <w:r w:rsidR="001C5FBD" w:rsidRPr="001C5FBD">
        <w:rPr>
          <w:rFonts w:ascii="StobiSerif Regular" w:hAnsi="StobiSerif Regular"/>
          <w:sz w:val="24"/>
          <w:szCs w:val="24"/>
        </w:rPr>
        <w:t xml:space="preserve">), </w:t>
      </w:r>
      <w:r w:rsidR="00F4467F">
        <w:rPr>
          <w:rFonts w:ascii="StobiSerif Regular" w:hAnsi="StobiSerif Regular"/>
          <w:sz w:val="24"/>
          <w:szCs w:val="24"/>
          <w:lang w:val="mk-MK"/>
        </w:rPr>
        <w:t xml:space="preserve">а </w:t>
      </w:r>
      <w:r w:rsidR="001C5FBD" w:rsidRPr="001C5FBD">
        <w:rPr>
          <w:rFonts w:ascii="StobiSerif Regular" w:hAnsi="StobiSerif Regular"/>
          <w:sz w:val="24"/>
          <w:szCs w:val="24"/>
        </w:rPr>
        <w:t>во врска со</w:t>
      </w:r>
      <w:r w:rsidR="001C5FBD" w:rsidRPr="001C5FBD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1C5FBD" w:rsidRPr="001C5FBD">
        <w:rPr>
          <w:rFonts w:ascii="StobiSerif Regular" w:hAnsi="StobiSerif Regular" w:cs="StobiSerif Regular"/>
          <w:sz w:val="24"/>
          <w:szCs w:val="24"/>
          <w:lang w:val="mk-MK"/>
        </w:rPr>
        <w:t xml:space="preserve">член 12 </w:t>
      </w:r>
      <w:r w:rsidR="001C5FBD">
        <w:rPr>
          <w:rFonts w:ascii="StobiSerif Regular" w:hAnsi="StobiSerif Regular" w:cs="StobiSerif Regular"/>
          <w:sz w:val="24"/>
          <w:szCs w:val="24"/>
          <w:lang w:val="mk-MK"/>
        </w:rPr>
        <w:t xml:space="preserve">  од  Законот  за јавна чистота 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>(,,Сл. Весник на РМ“</w:t>
      </w:r>
      <w:r w:rsidR="001C5FBD" w:rsidRPr="001C5FBD">
        <w:rPr>
          <w:rFonts w:ascii="StobiSerif Regular" w:hAnsi="StobiSerif Regular" w:cs="StobiSerif Regular"/>
          <w:sz w:val="24"/>
          <w:szCs w:val="24"/>
          <w:lang w:val="mk-MK"/>
        </w:rPr>
        <w:t xml:space="preserve">бр. </w:t>
      </w:r>
      <w:r w:rsidR="001C5FBD" w:rsidRPr="001C5FBD">
        <w:rPr>
          <w:rFonts w:ascii="StobiSerif Regular" w:hAnsi="StobiSerif Regular" w:cs="StobiSerif Regular"/>
          <w:sz w:val="24"/>
          <w:szCs w:val="24"/>
        </w:rPr>
        <w:t>111/08,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1C5FBD" w:rsidRPr="001C5FBD">
        <w:rPr>
          <w:rFonts w:ascii="StobiSerif Regular" w:hAnsi="StobiSerif Regular" w:cs="StobiSerif Regular"/>
          <w:sz w:val="24"/>
          <w:szCs w:val="24"/>
        </w:rPr>
        <w:t>64/09,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1C5FBD" w:rsidRPr="001C5FBD">
        <w:rPr>
          <w:rFonts w:ascii="StobiSerif Regular" w:hAnsi="StobiSerif Regular" w:cs="StobiSerif Regular"/>
          <w:sz w:val="24"/>
          <w:szCs w:val="24"/>
        </w:rPr>
        <w:t>88/10</w:t>
      </w:r>
      <w:r w:rsidR="005411CF">
        <w:rPr>
          <w:rFonts w:ascii="StobiSerif Regular" w:hAnsi="StobiSerif Regular" w:cs="StobiSerif Regular"/>
          <w:sz w:val="24"/>
          <w:szCs w:val="24"/>
        </w:rPr>
        <w:t>,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5411CF">
        <w:rPr>
          <w:rFonts w:ascii="StobiSerif Regular" w:hAnsi="StobiSerif Regular" w:cs="StobiSerif Regular"/>
          <w:sz w:val="24"/>
          <w:szCs w:val="24"/>
        </w:rPr>
        <w:t>23/11,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5411CF">
        <w:rPr>
          <w:rFonts w:ascii="StobiSerif Regular" w:hAnsi="StobiSerif Regular" w:cs="StobiSerif Regular"/>
          <w:sz w:val="24"/>
          <w:szCs w:val="24"/>
        </w:rPr>
        <w:t>53/11,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5411CF">
        <w:rPr>
          <w:rFonts w:ascii="StobiSerif Regular" w:hAnsi="StobiSerif Regular" w:cs="StobiSerif Regular"/>
          <w:sz w:val="24"/>
          <w:szCs w:val="24"/>
        </w:rPr>
        <w:t>80/12,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5411CF">
        <w:rPr>
          <w:rFonts w:ascii="StobiSerif Regular" w:hAnsi="StobiSerif Regular" w:cs="StobiSerif Regular"/>
          <w:sz w:val="24"/>
          <w:szCs w:val="24"/>
        </w:rPr>
        <w:t>163/13,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5411CF">
        <w:rPr>
          <w:rFonts w:ascii="StobiSerif Regular" w:hAnsi="StobiSerif Regular" w:cs="StobiSerif Regular"/>
          <w:sz w:val="24"/>
          <w:szCs w:val="24"/>
        </w:rPr>
        <w:t>44/15</w:t>
      </w:r>
      <w:r w:rsidR="001C5FBD" w:rsidRPr="001C5FBD">
        <w:rPr>
          <w:rFonts w:ascii="StobiSerif Regular" w:hAnsi="StobiSerif Regular" w:cs="StobiSerif Regular"/>
          <w:sz w:val="24"/>
          <w:szCs w:val="24"/>
        </w:rPr>
        <w:t>,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 </w:t>
      </w:r>
      <w:r w:rsidR="001C5FBD" w:rsidRPr="001C5FBD">
        <w:rPr>
          <w:rFonts w:ascii="StobiSerif Regular" w:hAnsi="StobiSerif Regular" w:cs="StobiSerif Regular"/>
          <w:sz w:val="24"/>
          <w:szCs w:val="24"/>
        </w:rPr>
        <w:t>147/15</w:t>
      </w:r>
      <w:r w:rsidR="005411CF">
        <w:rPr>
          <w:rFonts w:ascii="StobiSerif Regular" w:hAnsi="StobiSerif Regular" w:cs="StobiSerif Regular"/>
          <w:sz w:val="24"/>
          <w:szCs w:val="24"/>
          <w:lang w:val="mk-MK"/>
        </w:rPr>
        <w:t xml:space="preserve">, </w:t>
      </w:r>
      <w:r w:rsidR="001C5FBD">
        <w:rPr>
          <w:rFonts w:ascii="StobiSerif Regular" w:hAnsi="StobiSerif Regular" w:cs="StobiSerif Regular"/>
          <w:sz w:val="24"/>
          <w:szCs w:val="24"/>
          <w:lang w:val="mk-MK"/>
        </w:rPr>
        <w:t>31/16 и ,,Сл.Весник на РСМ“ бр.122/21, 225/24 и 101/25</w:t>
      </w:r>
      <w:r w:rsidR="001C5FBD" w:rsidRPr="001C5FBD">
        <w:rPr>
          <w:rFonts w:ascii="StobiSerif Regular" w:hAnsi="StobiSerif Regular"/>
          <w:sz w:val="24"/>
          <w:szCs w:val="24"/>
        </w:rPr>
        <w:t xml:space="preserve"> </w:t>
      </w:r>
      <w:r w:rsidR="001C5FBD">
        <w:rPr>
          <w:rFonts w:ascii="StobiSerif Regular" w:hAnsi="StobiSerif Regular"/>
          <w:sz w:val="24"/>
          <w:szCs w:val="24"/>
          <w:lang w:val="mk-MK"/>
        </w:rPr>
        <w:t>)</w:t>
      </w:r>
      <w:r w:rsidR="00F4467F">
        <w:rPr>
          <w:rFonts w:ascii="StobiSerif Regular" w:hAnsi="StobiSerif Regular"/>
          <w:sz w:val="24"/>
          <w:szCs w:val="24"/>
          <w:lang w:val="mk-MK"/>
        </w:rPr>
        <w:t>,</w:t>
      </w:r>
      <w:r w:rsidR="001C5FBD">
        <w:rPr>
          <w:rFonts w:ascii="StobiSerif Regular" w:hAnsi="StobiSerif Regular"/>
          <w:sz w:val="24"/>
          <w:szCs w:val="24"/>
          <w:lang w:val="mk-MK"/>
        </w:rPr>
        <w:t xml:space="preserve"> </w:t>
      </w:r>
      <w:r w:rsidR="001C5FBD" w:rsidRPr="001C5FBD">
        <w:rPr>
          <w:rFonts w:ascii="StobiSerif Regular" w:hAnsi="StobiSerif Regular"/>
          <w:sz w:val="24"/>
          <w:szCs w:val="24"/>
        </w:rPr>
        <w:t xml:space="preserve">член 132 став 1  од Статутот на Општина Кавадарци (,,Сл.гласник  на Општина Кавадарци,, бр.8/05, ….75/21), </w:t>
      </w:r>
    </w:p>
    <w:p w:rsidR="001C5FBD" w:rsidRPr="001C5FBD" w:rsidRDefault="001C5FBD" w:rsidP="001C5FBD">
      <w:pPr>
        <w:ind w:right="-46" w:firstLine="720"/>
        <w:jc w:val="both"/>
        <w:rPr>
          <w:rFonts w:ascii="StobiSerif Regular" w:hAnsi="StobiSerif Regular" w:cs="Calibri"/>
          <w:sz w:val="24"/>
          <w:szCs w:val="24"/>
          <w:lang w:val="mk-MK"/>
        </w:rPr>
      </w:pPr>
      <w:r w:rsidRPr="001C5FBD">
        <w:rPr>
          <w:rFonts w:ascii="StobiSerif Regular" w:hAnsi="StobiSerif Regular"/>
          <w:sz w:val="24"/>
          <w:szCs w:val="24"/>
        </w:rPr>
        <w:t xml:space="preserve">Советот на Општина Кавадарци </w:t>
      </w:r>
      <w:r w:rsidRPr="001C5FBD">
        <w:rPr>
          <w:rFonts w:ascii="StobiSerif Regular" w:hAnsi="StobiSerif Regular" w:cs="Calibri"/>
          <w:sz w:val="24"/>
          <w:szCs w:val="24"/>
        </w:rPr>
        <w:t xml:space="preserve">на 3-та седница одржaна  на ден  04.12.2025 година,  донесе, </w:t>
      </w:r>
    </w:p>
    <w:p w:rsidR="00E033C0" w:rsidRPr="00F23626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23626" w:rsidRDefault="00E033C0" w:rsidP="001B5AA6">
      <w:pPr>
        <w:jc w:val="center"/>
        <w:rPr>
          <w:rFonts w:ascii="MS Reference Sans Serif" w:hAnsi="MS Reference Sans Serif"/>
          <w:sz w:val="22"/>
          <w:szCs w:val="22"/>
        </w:rPr>
      </w:pPr>
      <w:r w:rsidRPr="00F23626">
        <w:rPr>
          <w:rFonts w:ascii="MS Reference Sans Serif" w:hAnsi="MS Reference Sans Serif" w:cs="StobiSerif Regular"/>
          <w:b/>
          <w:sz w:val="22"/>
          <w:szCs w:val="22"/>
          <w:lang w:val="mk-MK"/>
        </w:rPr>
        <w:t>П Р О Г Р А М А</w:t>
      </w:r>
    </w:p>
    <w:p w:rsidR="00E033C0" w:rsidRPr="00F4467F" w:rsidRDefault="00F4467F" w:rsidP="00F4467F">
      <w:pPr>
        <w:jc w:val="center"/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</w:pPr>
      <w:r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з</w:t>
      </w:r>
      <w:r w:rsidR="00E033C0" w:rsidRPr="00F23626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а    јавна  чистота   за  20</w:t>
      </w:r>
      <w:r w:rsidR="00156525" w:rsidRPr="00F23626">
        <w:rPr>
          <w:rFonts w:ascii="MS Reference Sans Serif" w:hAnsi="MS Reference Sans Serif" w:cs="StobiSerif Regular"/>
          <w:b/>
          <w:bCs/>
          <w:sz w:val="22"/>
          <w:szCs w:val="22"/>
          <w:lang w:val="en-GB"/>
        </w:rPr>
        <w:t>2</w:t>
      </w:r>
      <w:r w:rsidR="003525E0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6</w:t>
      </w:r>
      <w:r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 xml:space="preserve"> </w:t>
      </w:r>
      <w:r w:rsidR="00E033C0" w:rsidRPr="00F23626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година</w:t>
      </w:r>
    </w:p>
    <w:p w:rsidR="00E033C0" w:rsidRPr="00F23626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23626" w:rsidRDefault="00E033C0" w:rsidP="00CF009D">
      <w:pPr>
        <w:ind w:firstLine="720"/>
        <w:jc w:val="both"/>
        <w:rPr>
          <w:rFonts w:ascii="MS Reference Sans Serif" w:hAnsi="MS Reference Sans Serif"/>
          <w:sz w:val="22"/>
          <w:szCs w:val="22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Во изработка на  оперативниот план за  јавна  чистота  како фактори се земени категоризацијата  на улиците ( нивната лоцираност во градот), фрекфентноста  на истите,  начинот  на одржување на чистотата  на  улиците, како и димензиите ,  формата  и нивната  загаденост.</w:t>
      </w:r>
    </w:p>
    <w:p w:rsidR="00E033C0" w:rsidRPr="00F23626" w:rsidRDefault="00E033C0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23626" w:rsidRDefault="00E033C0" w:rsidP="00CF009D">
      <w:pPr>
        <w:ind w:firstLine="720"/>
        <w:jc w:val="both"/>
        <w:rPr>
          <w:rFonts w:ascii="MS Reference Sans Serif" w:hAnsi="MS Reference Sans Serif"/>
          <w:sz w:val="22"/>
          <w:szCs w:val="22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Постојат неколку  вида    на  смет  на јавно прометните   површини и  јавните површини кои  зависат од  густината на населението, стандардот  а  најмногу од  еко културата  кај  самото население  и  тоа:</w:t>
      </w:r>
    </w:p>
    <w:p w:rsidR="00E033C0" w:rsidRPr="00F23626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1.Секојдневен смет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а. Обичен  уличен смет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bCs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-</w:t>
      </w: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кутии од  цигари,отпушоци од цигари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bCs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-искористени  билети,флаери, хартија од  разни пакувања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bCs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-останати слични отпадоци</w:t>
      </w:r>
    </w:p>
    <w:p w:rsidR="00E033C0" w:rsidRPr="00F4467F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б. Отпадоци од возила  кои  наст</w:t>
      </w:r>
      <w:r w:rsidRPr="00F4467F">
        <w:rPr>
          <w:rFonts w:ascii="MS Reference Sans Serif" w:hAnsi="MS Reference Sans Serif" w:cs="StobiSerif Regular"/>
          <w:sz w:val="22"/>
          <w:szCs w:val="22"/>
        </w:rPr>
        <w:t>a</w:t>
      </w: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нуваат при: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bCs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- </w:t>
      </w: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при превоз  на разноводен матерјал (градежен материјал, овошје, зеленчук и технолошки материјал),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bCs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 при товарање и растоварање на разни стоки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bCs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 при собирање на домашен смет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bCs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 при косење на тревни површини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 при  поминување на запрежни коли, трактори и камиони кои носат  на своите пневматници остатоци од земја, песок и  лисја.</w:t>
      </w:r>
    </w:p>
    <w:p w:rsidR="00E033C0" w:rsidRPr="00F4467F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в</w:t>
      </w: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 xml:space="preserve">. </w:t>
      </w: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Загадување од атмосферата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  загадување  од чад,прав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  индустриски оџаци</w:t>
      </w:r>
    </w:p>
    <w:p w:rsidR="00E033C0" w:rsidRPr="00F4467F" w:rsidRDefault="00E033C0" w:rsidP="00CF009D">
      <w:pPr>
        <w:jc w:val="both"/>
        <w:rPr>
          <w:rFonts w:ascii="MS Reference Sans Serif" w:hAnsi="MS Reference Sans Serif" w:cs="StobiSerif Regular"/>
          <w:bCs/>
          <w:sz w:val="22"/>
          <w:szCs w:val="22"/>
          <w:lang w:val="mk-MK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  гасовите од моторните возила</w:t>
      </w:r>
    </w:p>
    <w:p w:rsidR="00E968CC" w:rsidRPr="00270718" w:rsidRDefault="00E968CC" w:rsidP="00CF009D">
      <w:pPr>
        <w:jc w:val="both"/>
        <w:rPr>
          <w:rFonts w:ascii="MS Reference Sans Serif" w:hAnsi="MS Reference Sans Serif" w:cs="StobiSerif Regular"/>
          <w:bCs/>
          <w:sz w:val="22"/>
          <w:szCs w:val="22"/>
          <w:lang w:val="mk-MK"/>
        </w:rPr>
      </w:pPr>
    </w:p>
    <w:p w:rsidR="00A77C9C" w:rsidRPr="00F4467F" w:rsidRDefault="00A77C9C" w:rsidP="00CF009D">
      <w:pPr>
        <w:jc w:val="both"/>
        <w:rPr>
          <w:rFonts w:ascii="MS Reference Sans Serif" w:hAnsi="MS Reference Sans Serif" w:cs="StobiSerif Regular"/>
          <w:bCs/>
          <w:sz w:val="22"/>
          <w:szCs w:val="22"/>
          <w:lang w:val="mk-MK"/>
        </w:rPr>
      </w:pP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г.</w:t>
      </w: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 xml:space="preserve"> При интензивно врнење  на дождови</w:t>
      </w:r>
    </w:p>
    <w:p w:rsidR="00E033C0" w:rsidRDefault="00E033C0" w:rsidP="00CF009D">
      <w:pPr>
        <w:jc w:val="both"/>
        <w:rPr>
          <w:rFonts w:ascii="MS Reference Sans Serif" w:hAnsi="MS Reference Sans Serif" w:cs="StobiSerif Regular"/>
          <w:bCs/>
          <w:sz w:val="22"/>
          <w:szCs w:val="22"/>
          <w:lang w:val="mk-MK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-наноси од земја, песок, лисја  и  др.</w:t>
      </w:r>
    </w:p>
    <w:p w:rsidR="00270718" w:rsidRPr="00F4467F" w:rsidRDefault="00270718" w:rsidP="00CF009D">
      <w:pPr>
        <w:jc w:val="both"/>
        <w:rPr>
          <w:rFonts w:ascii="MS Reference Sans Serif" w:hAnsi="MS Reference Sans Serif" w:cs="StobiSerif Regular"/>
          <w:bCs/>
          <w:sz w:val="22"/>
          <w:szCs w:val="22"/>
          <w:lang w:val="mk-MK"/>
        </w:rPr>
      </w:pPr>
    </w:p>
    <w:p w:rsidR="00F2653D" w:rsidRPr="00F4467F" w:rsidRDefault="00F2653D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F2653D" w:rsidRPr="00F4467F" w:rsidRDefault="00F2653D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2. Сезонски  смет 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Се појавува сезонски  и обично  го има два вида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-лисја од дрвата, суви гранки   и слично</w:t>
      </w:r>
    </w:p>
    <w:p w:rsidR="00E033C0" w:rsidRPr="00F4467F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 xml:space="preserve">-песок и ризла кој во зимскиот  период служи  за посипување на  </w:t>
      </w:r>
    </w:p>
    <w:p w:rsidR="00E033C0" w:rsidRPr="00F4467F" w:rsidRDefault="00D90A65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Коловози и тротоари</w:t>
      </w:r>
      <w:r w:rsidR="00E033C0"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 xml:space="preserve">  заради  намалување на лизгавоста кој по  престанокот  за мразевите и  снеговите</w:t>
      </w: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 xml:space="preserve"> кои  треба  темелно  да се  отстранат</w:t>
      </w:r>
      <w:r w:rsidR="00E033C0"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.</w:t>
      </w:r>
    </w:p>
    <w:p w:rsidR="00E033C0" w:rsidRPr="00F4467F" w:rsidRDefault="00E033C0" w:rsidP="00CF009D">
      <w:pPr>
        <w:jc w:val="both"/>
        <w:rPr>
          <w:rFonts w:ascii="MS Reference Sans Serif" w:hAnsi="MS Reference Sans Serif" w:cs="StobiSerif Regular"/>
          <w:bCs/>
          <w:sz w:val="22"/>
          <w:szCs w:val="22"/>
          <w:lang w:val="mk-MK"/>
        </w:rPr>
      </w:pPr>
      <w:r w:rsidRPr="00F4467F">
        <w:rPr>
          <w:rFonts w:ascii="MS Reference Sans Serif" w:hAnsi="MS Reference Sans Serif" w:cs="StobiSerif Regular"/>
          <w:bCs/>
          <w:sz w:val="22"/>
          <w:szCs w:val="22"/>
          <w:lang w:val="mk-MK"/>
        </w:rPr>
        <w:t>-Под оваа ставка и извршување односно отстранување на наслагите од мраз и снег на јавните површини ќе се фактурира по м2 и цена исто како рачно пометување по јавните површини.</w:t>
      </w:r>
    </w:p>
    <w:p w:rsidR="00E033C0" w:rsidRPr="00F4467F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D90A65" w:rsidRPr="00F4467F" w:rsidRDefault="00E033C0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Што се однесува  до организациониот  план  за чистење  на Јавно сообраќајните површини  и  јавните површини  помеѓу др</w:t>
      </w:r>
      <w:r w:rsidR="00BC695A" w:rsidRPr="00F4467F">
        <w:rPr>
          <w:rFonts w:ascii="MS Reference Sans Serif" w:hAnsi="MS Reference Sans Serif" w:cs="StobiSerif Regular"/>
          <w:sz w:val="22"/>
          <w:szCs w:val="22"/>
          <w:lang w:val="mk-MK"/>
        </w:rPr>
        <w:t>угото  потребно е да се утврди</w:t>
      </w: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и потребниот интензитет на чистење  а истиот  зависи од  густината  на населеноста  во градот,  распоредот на комерцијалните и станбените  згради, интензитетот на сообраќајот, фрекфенцијата на пешаци и интензитетот  на  загадувањата.  </w:t>
      </w:r>
    </w:p>
    <w:p w:rsidR="00A77C9C" w:rsidRPr="00F4467F" w:rsidRDefault="00A77C9C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E033C0" w:rsidRPr="00F4467F" w:rsidRDefault="00E033C0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</w:rPr>
      </w:pPr>
      <w:r w:rsidRPr="00F4467F">
        <w:rPr>
          <w:rFonts w:ascii="MS Reference Sans Serif" w:hAnsi="MS Reference Sans Serif" w:cs="StobiSerif Regular"/>
          <w:sz w:val="22"/>
          <w:szCs w:val="22"/>
          <w:lang w:val="mk-MK"/>
        </w:rPr>
        <w:t>Според горе наведените фактори  категоризацијата на улиците  би изгледала  вака:</w:t>
      </w:r>
    </w:p>
    <w:p w:rsidR="00A77C9C" w:rsidRPr="00A77C9C" w:rsidRDefault="00A77C9C" w:rsidP="00CF009D">
      <w:pPr>
        <w:ind w:firstLine="720"/>
        <w:jc w:val="both"/>
        <w:rPr>
          <w:rFonts w:ascii="MS Reference Sans Serif" w:hAnsi="MS Reference Sans Serif"/>
          <w:sz w:val="22"/>
          <w:szCs w:val="22"/>
        </w:rPr>
      </w:pPr>
    </w:p>
    <w:p w:rsidR="00E033C0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ab/>
        <w:t xml:space="preserve">Улици од  </w:t>
      </w:r>
      <w:r w:rsidRPr="00A77C9C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1-ва  категорија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Центар на градот , деловен дел на градот каде улиците и булеварите се  со густа фрекфенција  на лица и возила  и каде  треба да се чисти секојденевно четири, пет  или шест дена  во неделата.</w:t>
      </w:r>
    </w:p>
    <w:p w:rsidR="00A77C9C" w:rsidRPr="00A77C9C" w:rsidRDefault="00A77C9C" w:rsidP="00CF009D">
      <w:pPr>
        <w:jc w:val="both"/>
        <w:rPr>
          <w:rFonts w:ascii="MS Reference Sans Serif" w:hAnsi="MS Reference Sans Serif"/>
          <w:sz w:val="22"/>
          <w:szCs w:val="22"/>
        </w:rPr>
      </w:pPr>
    </w:p>
    <w:p w:rsidR="00E033C0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ab/>
        <w:t xml:space="preserve">Улици од </w:t>
      </w:r>
      <w:r w:rsidRPr="00A77C9C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2-ра  категорија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Деловен  и  станбен  дел од  градот  со развиен сообраќај  и густа фрекфенција  на  луѓе.</w:t>
      </w:r>
    </w:p>
    <w:p w:rsidR="00A77C9C" w:rsidRPr="00A77C9C" w:rsidRDefault="00A77C9C" w:rsidP="00CF009D">
      <w:pPr>
        <w:jc w:val="both"/>
        <w:rPr>
          <w:rFonts w:ascii="MS Reference Sans Serif" w:hAnsi="MS Reference Sans Serif"/>
          <w:sz w:val="22"/>
          <w:szCs w:val="22"/>
        </w:rPr>
      </w:pPr>
    </w:p>
    <w:p w:rsidR="00E033C0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ab/>
        <w:t xml:space="preserve">Улици од </w:t>
      </w:r>
      <w:r w:rsidRPr="00A77C9C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3-та  категорија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Густо населени населби и улици  со послаб  градски промет на  возила и луѓе.</w:t>
      </w:r>
    </w:p>
    <w:p w:rsidR="00A77C9C" w:rsidRPr="00A77C9C" w:rsidRDefault="00A77C9C" w:rsidP="00CF009D">
      <w:pPr>
        <w:jc w:val="both"/>
        <w:rPr>
          <w:rFonts w:ascii="MS Reference Sans Serif" w:hAnsi="MS Reference Sans Serif"/>
          <w:sz w:val="22"/>
          <w:szCs w:val="22"/>
        </w:rPr>
      </w:pPr>
    </w:p>
    <w:p w:rsidR="00E033C0" w:rsidRPr="00F23626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Улици од </w:t>
      </w:r>
      <w:r w:rsidRPr="00A77C9C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4 та категорија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Поретко населени улици со послаб интензитет на возила и луѓе.</w:t>
      </w:r>
    </w:p>
    <w:p w:rsidR="00BC695A" w:rsidRPr="00F23626" w:rsidRDefault="00BC695A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3971A2" w:rsidRDefault="003971A2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3971A2" w:rsidRPr="00F23626" w:rsidRDefault="003971A2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653D" w:rsidRPr="00F23626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23626" w:rsidRDefault="00F23626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270718" w:rsidRDefault="00270718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92269A" w:rsidRPr="00F23626" w:rsidRDefault="0092269A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en-GB"/>
        </w:rPr>
      </w:pPr>
      <w:r w:rsidRPr="00F23626">
        <w:rPr>
          <w:rFonts w:ascii="MS Reference Sans Serif" w:hAnsi="MS Reference Sans Serif" w:cs="StobiSerif Regular"/>
          <w:b/>
          <w:sz w:val="22"/>
          <w:szCs w:val="22"/>
          <w:lang w:val="mk-MK"/>
        </w:rPr>
        <w:lastRenderedPageBreak/>
        <w:t xml:space="preserve">Улици </w:t>
      </w:r>
      <w:r w:rsidR="00A77C9C">
        <w:rPr>
          <w:rFonts w:ascii="MS Reference Sans Serif" w:hAnsi="MS Reference Sans Serif" w:cs="StobiSerif Regular"/>
          <w:b/>
          <w:sz w:val="22"/>
          <w:szCs w:val="22"/>
          <w:lang w:val="mk-MK"/>
        </w:rPr>
        <w:t xml:space="preserve">Прва </w:t>
      </w:r>
      <w:r w:rsidRPr="00F23626">
        <w:rPr>
          <w:rFonts w:ascii="MS Reference Sans Serif" w:hAnsi="MS Reference Sans Serif" w:cs="StobiSerif Regular"/>
          <w:b/>
          <w:sz w:val="22"/>
          <w:szCs w:val="22"/>
          <w:lang w:val="mk-MK"/>
        </w:rPr>
        <w:t>категорија</w:t>
      </w:r>
    </w:p>
    <w:tbl>
      <w:tblPr>
        <w:tblpPr w:leftFromText="180" w:rightFromText="180" w:vertAnchor="text" w:horzAnchor="margin" w:tblpXSpec="center" w:tblpY="733"/>
        <w:tblW w:w="15484" w:type="dxa"/>
        <w:tblLayout w:type="fixed"/>
        <w:tblLook w:val="04A0"/>
      </w:tblPr>
      <w:tblGrid>
        <w:gridCol w:w="3258"/>
        <w:gridCol w:w="1800"/>
        <w:gridCol w:w="1374"/>
        <w:gridCol w:w="1326"/>
        <w:gridCol w:w="1530"/>
        <w:gridCol w:w="2070"/>
        <w:gridCol w:w="4126"/>
      </w:tblGrid>
      <w:tr w:rsidR="0092269A" w:rsidRPr="00F4467F" w:rsidTr="00F4467F">
        <w:trPr>
          <w:trHeight w:val="960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Ред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Квадратура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Број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на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пометување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месечно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Број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на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миење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Број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на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пометување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месечно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F4467F">
            <w:pPr>
              <w:ind w:left="-288"/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Број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на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миење</w:t>
            </w:r>
            <w:r w:rsidR="00F4467F"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Pr="00F4467F">
              <w:rPr>
                <w:rFonts w:ascii="StobiSerif Regular" w:hAnsi="StobiSerif Regular" w:cs="Calibri"/>
                <w:bCs/>
                <w:color w:val="000000"/>
                <w:sz w:val="16"/>
                <w:szCs w:val="16"/>
              </w:rPr>
              <w:t>месечно</w:t>
            </w:r>
          </w:p>
        </w:tc>
      </w:tr>
      <w:tr w:rsidR="0092269A" w:rsidRPr="00F4467F" w:rsidTr="00F4467F">
        <w:trPr>
          <w:trHeight w:val="1260"/>
        </w:trPr>
        <w:tc>
          <w:tcPr>
            <w:tcW w:w="32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Бр.</w:t>
            </w: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рачно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месечно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машинско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2269A" w:rsidRPr="00F4467F" w:rsidRDefault="00F4467F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М</w:t>
            </w:r>
            <w:r w:rsidR="0092269A"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ашинско</w:t>
            </w:r>
            <w:r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="0092269A"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со</w:t>
            </w:r>
            <w:r>
              <w:rPr>
                <w:rFonts w:ascii="StobiSerif Regular" w:hAnsi="StobiSerif Regular" w:cs="Calibri"/>
                <w:color w:val="000000"/>
                <w:sz w:val="16"/>
                <w:szCs w:val="16"/>
                <w:lang w:val="mk-MK"/>
              </w:rPr>
              <w:t xml:space="preserve"> </w:t>
            </w:r>
            <w:r w:rsidR="0092269A"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преденилизаденмлаз</w:t>
            </w:r>
          </w:p>
        </w:tc>
      </w:tr>
      <w:tr w:rsidR="0092269A" w:rsidRPr="00F4467F" w:rsidTr="00F4467F">
        <w:trPr>
          <w:trHeight w:val="33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269A" w:rsidRPr="00F4467F" w:rsidRDefault="0092269A" w:rsidP="00CF009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6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2269A" w:rsidRPr="00F4467F" w:rsidRDefault="0092269A" w:rsidP="00CF009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6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269A" w:rsidRPr="00F4467F" w:rsidRDefault="0092269A" w:rsidP="00CF009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6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рачно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269A" w:rsidRPr="00F4467F" w:rsidRDefault="0092269A" w:rsidP="00CF009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6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69A" w:rsidRPr="00F4467F" w:rsidRDefault="0092269A" w:rsidP="00CF009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4467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2269A" w:rsidRPr="00F4467F" w:rsidTr="00F4467F">
        <w:trPr>
          <w:trHeight w:val="645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ТиквешкоВостание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6320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 </w:t>
            </w:r>
          </w:p>
        </w:tc>
      </w:tr>
      <w:tr w:rsidR="0092269A" w:rsidRPr="00F4467F" w:rsidTr="00F4467F">
        <w:trPr>
          <w:trHeight w:val="33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Плоштад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3741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 </w:t>
            </w:r>
          </w:p>
        </w:tc>
      </w:tr>
      <w:tr w:rsidR="0092269A" w:rsidRPr="00F4467F" w:rsidTr="00F4467F">
        <w:trPr>
          <w:trHeight w:val="96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ПаркингКитГоул. ТиквешкоВостание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 </w:t>
            </w:r>
          </w:p>
        </w:tc>
      </w:tr>
      <w:tr w:rsidR="0092269A" w:rsidRPr="00F4467F" w:rsidTr="00F4467F">
        <w:trPr>
          <w:trHeight w:val="96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Ул.ТошоВелковПепетосопаркинг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3313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 </w:t>
            </w:r>
          </w:p>
        </w:tc>
      </w:tr>
      <w:tr w:rsidR="0092269A" w:rsidRPr="00F4467F" w:rsidTr="00F4467F">
        <w:trPr>
          <w:trHeight w:val="33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Илинденска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14787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/>
                <w:sz w:val="16"/>
                <w:szCs w:val="16"/>
              </w:rPr>
              <w:t> </w:t>
            </w:r>
          </w:p>
        </w:tc>
      </w:tr>
      <w:tr w:rsidR="00474175" w:rsidRPr="00F4467F" w:rsidTr="00F4467F">
        <w:trPr>
          <w:trHeight w:val="96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7 миСептемврицела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9623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74175" w:rsidRPr="00F4467F" w:rsidTr="00F4467F">
        <w:trPr>
          <w:trHeight w:val="645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М.Х.Јасминцела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4764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74175" w:rsidRPr="00F4467F" w:rsidTr="00F4467F">
        <w:trPr>
          <w:trHeight w:val="645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ПаноМударовцела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4766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74175" w:rsidRPr="00F4467F" w:rsidTr="00F4467F">
        <w:trPr>
          <w:trHeight w:val="645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ЦаноПопРистовцела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74175" w:rsidRPr="00F4467F" w:rsidTr="00F4467F">
        <w:trPr>
          <w:trHeight w:val="675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Вкупно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</w:rPr>
              <w:t>1,067,760 м2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200,382 м2</w:t>
            </w:r>
          </w:p>
        </w:tc>
        <w:tc>
          <w:tcPr>
            <w:tcW w:w="20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color w:val="000000" w:themeColor="text1"/>
                <w:sz w:val="16"/>
                <w:szCs w:val="16"/>
              </w:rPr>
              <w:t>414,016 м2</w:t>
            </w:r>
          </w:p>
        </w:tc>
        <w:tc>
          <w:tcPr>
            <w:tcW w:w="4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69A" w:rsidRPr="00F4467F" w:rsidRDefault="0092269A" w:rsidP="00CF009D">
            <w:pPr>
              <w:jc w:val="both"/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</w:rPr>
            </w:pPr>
            <w:r w:rsidRPr="00F4467F"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</w:rPr>
              <w:t>0 м2</w:t>
            </w:r>
          </w:p>
        </w:tc>
      </w:tr>
    </w:tbl>
    <w:p w:rsidR="00F23626" w:rsidRPr="00F4467F" w:rsidRDefault="00F23626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16"/>
          <w:szCs w:val="16"/>
          <w:lang w:val="mk-MK"/>
        </w:rPr>
      </w:pPr>
    </w:p>
    <w:p w:rsidR="00F23626" w:rsidRPr="00F4467F" w:rsidRDefault="00F23626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16"/>
          <w:szCs w:val="16"/>
          <w:lang w:val="mk-MK"/>
        </w:rPr>
      </w:pPr>
    </w:p>
    <w:p w:rsidR="00F2653D" w:rsidRPr="00F4467F" w:rsidRDefault="00F2653D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16"/>
          <w:szCs w:val="16"/>
          <w:lang w:val="mk-MK"/>
        </w:rPr>
      </w:pPr>
    </w:p>
    <w:p w:rsidR="00772C20" w:rsidRPr="00F4467F" w:rsidRDefault="00772C20" w:rsidP="00CF009D">
      <w:pPr>
        <w:jc w:val="both"/>
        <w:rPr>
          <w:rFonts w:ascii="MS Reference Sans Serif" w:hAnsi="MS Reference Sans Serif" w:cs="StobiSerif Regular"/>
          <w:b/>
          <w:sz w:val="16"/>
          <w:szCs w:val="16"/>
          <w:lang w:val="en-GB"/>
        </w:rPr>
      </w:pPr>
    </w:p>
    <w:p w:rsidR="00772C20" w:rsidRPr="00F4467F" w:rsidRDefault="00772C20" w:rsidP="00CF009D">
      <w:pPr>
        <w:jc w:val="both"/>
        <w:rPr>
          <w:rFonts w:ascii="MS Reference Sans Serif" w:hAnsi="MS Reference Sans Serif" w:cs="StobiSerif Regular"/>
          <w:b/>
          <w:sz w:val="16"/>
          <w:szCs w:val="16"/>
          <w:lang w:val="en-GB"/>
        </w:rPr>
      </w:pPr>
    </w:p>
    <w:p w:rsidR="00772C20" w:rsidRPr="00F4467F" w:rsidRDefault="00772C20" w:rsidP="00CF009D">
      <w:pPr>
        <w:jc w:val="both"/>
        <w:rPr>
          <w:rFonts w:ascii="MS Reference Sans Serif" w:hAnsi="MS Reference Sans Serif"/>
          <w:sz w:val="16"/>
          <w:szCs w:val="16"/>
          <w:lang w:val="en-GB"/>
        </w:rPr>
      </w:pPr>
    </w:p>
    <w:p w:rsidR="00E033C0" w:rsidRPr="00F4467F" w:rsidRDefault="00E033C0" w:rsidP="00CF009D">
      <w:pPr>
        <w:jc w:val="both"/>
        <w:rPr>
          <w:rFonts w:ascii="MS Reference Sans Serif" w:hAnsi="MS Reference Sans Serif" w:cs="StobiSerif Regular"/>
          <w:sz w:val="16"/>
          <w:szCs w:val="16"/>
          <w:lang w:val="mk-MK"/>
        </w:rPr>
      </w:pPr>
    </w:p>
    <w:p w:rsidR="00E033C0" w:rsidRPr="00F4467F" w:rsidRDefault="00E033C0" w:rsidP="00CF009D">
      <w:pPr>
        <w:jc w:val="both"/>
        <w:rPr>
          <w:rFonts w:ascii="MS Reference Sans Serif" w:hAnsi="MS Reference Sans Serif" w:cs="StobiSerif Regular"/>
          <w:sz w:val="16"/>
          <w:szCs w:val="16"/>
          <w:lang w:val="mk-MK"/>
        </w:rPr>
      </w:pPr>
    </w:p>
    <w:p w:rsidR="00E033C0" w:rsidRPr="00F4467F" w:rsidRDefault="00E033C0" w:rsidP="00CF009D">
      <w:pPr>
        <w:jc w:val="both"/>
        <w:rPr>
          <w:rFonts w:ascii="MS Reference Sans Serif" w:hAnsi="MS Reference Sans Serif" w:cs="StobiSerif Regular"/>
          <w:sz w:val="16"/>
          <w:szCs w:val="16"/>
          <w:lang w:val="mk-MK"/>
        </w:rPr>
      </w:pPr>
    </w:p>
    <w:p w:rsidR="00595DA8" w:rsidRDefault="00595DA8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A77C9C" w:rsidRDefault="00A77C9C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A77C9C" w:rsidRDefault="00A77C9C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A77C9C" w:rsidRDefault="00A77C9C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A77C9C" w:rsidRDefault="00A77C9C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3971A2" w:rsidRDefault="003971A2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3971A2" w:rsidRPr="003971A2" w:rsidRDefault="003971A2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A77C9C" w:rsidRPr="00A77C9C" w:rsidRDefault="00A77C9C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595DA8" w:rsidRPr="00F23626" w:rsidRDefault="00595DA8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595DA8" w:rsidRDefault="00595DA8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270718" w:rsidRDefault="00270718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270718" w:rsidRDefault="00270718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270718" w:rsidRPr="00F23626" w:rsidRDefault="00270718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23626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23626">
        <w:rPr>
          <w:rFonts w:ascii="MS Reference Sans Serif" w:hAnsi="MS Reference Sans Serif" w:cs="StobiSerif Regular"/>
          <w:b/>
          <w:sz w:val="22"/>
          <w:szCs w:val="22"/>
          <w:lang w:val="en-AU"/>
        </w:rPr>
        <w:t>Улици</w:t>
      </w:r>
      <w:r w:rsidR="00E968CC">
        <w:rPr>
          <w:rFonts w:ascii="MS Reference Sans Serif" w:hAnsi="MS Reference Sans Serif" w:cs="StobiSerif Regular"/>
          <w:b/>
          <w:sz w:val="22"/>
          <w:szCs w:val="22"/>
          <w:lang w:val="mk-MK"/>
        </w:rPr>
        <w:t xml:space="preserve"> </w:t>
      </w:r>
      <w:r w:rsidR="00A77C9C">
        <w:rPr>
          <w:rFonts w:ascii="MS Reference Sans Serif" w:hAnsi="MS Reference Sans Serif" w:cs="StobiSerif Regular"/>
          <w:b/>
          <w:sz w:val="22"/>
          <w:szCs w:val="22"/>
          <w:lang w:val="mk-MK"/>
        </w:rPr>
        <w:t>Втора</w:t>
      </w:r>
      <w:r w:rsidR="00E968CC">
        <w:rPr>
          <w:rFonts w:ascii="MS Reference Sans Serif" w:hAnsi="MS Reference Sans Serif" w:cs="StobiSerif Regular"/>
          <w:b/>
          <w:sz w:val="22"/>
          <w:szCs w:val="22"/>
          <w:lang w:val="mk-MK"/>
        </w:rPr>
        <w:t xml:space="preserve"> </w:t>
      </w:r>
      <w:r w:rsidRPr="00F23626">
        <w:rPr>
          <w:rFonts w:ascii="MS Reference Sans Serif" w:hAnsi="MS Reference Sans Serif" w:cs="StobiSerif Regular"/>
          <w:b/>
          <w:sz w:val="22"/>
          <w:szCs w:val="22"/>
          <w:lang w:val="en-AU"/>
        </w:rPr>
        <w:t>категорија</w:t>
      </w:r>
    </w:p>
    <w:p w:rsidR="00F63C62" w:rsidRPr="00A77C9C" w:rsidRDefault="00F63C62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80"/>
        <w:tblW w:w="9922" w:type="dxa"/>
        <w:tblLayout w:type="fixed"/>
        <w:tblLook w:val="04A0"/>
      </w:tblPr>
      <w:tblGrid>
        <w:gridCol w:w="709"/>
        <w:gridCol w:w="1842"/>
        <w:gridCol w:w="1418"/>
        <w:gridCol w:w="1417"/>
        <w:gridCol w:w="1624"/>
        <w:gridCol w:w="1353"/>
        <w:gridCol w:w="1559"/>
      </w:tblGrid>
      <w:tr w:rsidR="00D34B11" w:rsidRPr="00F63C62" w:rsidTr="00D34B11">
        <w:trPr>
          <w:trHeight w:val="94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Редбр.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Улица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Квадратура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Бројнапометувањемесечно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Бројнамиење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Бројнапометувањемесечно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Бројнамиење</w:t>
            </w:r>
            <w:r w:rsidRPr="00A77C9C">
              <w:rPr>
                <w:rFonts w:ascii="StobiSerif Regular" w:hAnsi="StobiSerif Regular" w:cs="Calibri"/>
                <w:b/>
                <w:bCs/>
                <w:color w:val="000000"/>
                <w:lang w:val="en-GB" w:eastAsia="en-GB"/>
              </w:rPr>
              <w:t>месечно</w:t>
            </w:r>
          </w:p>
        </w:tc>
      </w:tr>
      <w:tr w:rsidR="00D34B11" w:rsidRPr="00F63C62" w:rsidTr="00D34B11">
        <w:trPr>
          <w:trHeight w:val="94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рачно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месечно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машинско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машинскосопреденилизаденмлаз</w:t>
            </w:r>
          </w:p>
        </w:tc>
      </w:tr>
      <w:tr w:rsidR="00D34B11" w:rsidRPr="00F63C62" w:rsidTr="00A77C9C">
        <w:trPr>
          <w:trHeight w:val="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A77C9C">
              <w:rPr>
                <w:rFonts w:ascii="Calibri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A77C9C">
              <w:rPr>
                <w:rFonts w:ascii="Calibri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рачно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A77C9C">
              <w:rPr>
                <w:rFonts w:ascii="Calibri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A77C9C">
              <w:rPr>
                <w:rFonts w:ascii="Calibri" w:hAnsi="Calibri" w:cs="Calibri"/>
                <w:color w:val="000000"/>
                <w:lang w:val="en-GB" w:eastAsia="en-GB"/>
              </w:rPr>
              <w:t> </w:t>
            </w:r>
          </w:p>
        </w:tc>
      </w:tr>
      <w:tr w:rsidR="00D34B11" w:rsidRPr="00F63C62" w:rsidTr="00D34B1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Ресавска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5934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Вишешницацеласопаркинг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6693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ГоцеДелчев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10141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 миСептември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5112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Пионерска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5572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FF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FF0000"/>
                <w:lang w:val="en-GB"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НароденФронт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3431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СтрашоПинџурдоул.Слога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12206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Бул.М.ПијадеодБул.ЦветанДимовдоИлинденска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4320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</w:tr>
      <w:tr w:rsidR="00D34B11" w:rsidRPr="00F63C62" w:rsidTr="00D34B1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Димката А. Габер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8080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Б.АлексоводЦ.П.РистовдоспојсоМирчеАцев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ЌироКрстевод ул.7ми Септемвридоул.Слога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8595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D34B11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БраќаЏуновиод ул.7ми СептемвридорешеткаМинЕкс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5300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</w:tr>
      <w:tr w:rsidR="00D34B11" w:rsidRPr="00F63C62" w:rsidTr="00D34B11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БраќаЏуновиодрешеткаМинЕксдоул.Слога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2300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CB5737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Бул.КочоРацин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5167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F63C62" w:rsidTr="00CB5737">
        <w:trPr>
          <w:trHeight w:val="76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4B11" w:rsidRPr="00CB5737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CB5737">
              <w:rPr>
                <w:rFonts w:ascii="StobiSerif Regular" w:hAnsi="StobiSerif Regular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CB5737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lang w:val="en-GB" w:eastAsia="en-GB"/>
              </w:rPr>
            </w:pPr>
            <w:r w:rsidRPr="00CB5737">
              <w:rPr>
                <w:rFonts w:ascii="StobiSerif Regular" w:hAnsi="StobiSerif Regular" w:cs="Calibri"/>
                <w:b/>
                <w:bCs/>
                <w:color w:val="000000"/>
                <w:lang w:val="en-GB" w:eastAsia="en-GB"/>
              </w:rPr>
              <w:t>Вкупно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4B11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mk-MK" w:eastAsia="en-GB"/>
              </w:rPr>
            </w:pPr>
          </w:p>
          <w:p w:rsidR="00CB5737" w:rsidRPr="00CB5737" w:rsidRDefault="00CB5737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mk-MK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34B11" w:rsidRPr="00CB5737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lang w:val="en-GB" w:eastAsia="en-GB"/>
              </w:rPr>
            </w:pPr>
            <w:r w:rsidRPr="00CB5737">
              <w:rPr>
                <w:rFonts w:ascii="StobiSerif Regular" w:hAnsi="StobiSerif Regular" w:cs="Calibri"/>
                <w:b/>
                <w:bCs/>
                <w:color w:val="000000"/>
                <w:lang w:val="en-GB" w:eastAsia="en-GB"/>
              </w:rPr>
              <w:t>702,808 м2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CB5737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lang w:val="en-GB" w:eastAsia="en-GB"/>
              </w:rPr>
            </w:pPr>
            <w:r w:rsidRPr="00CB5737">
              <w:rPr>
                <w:rFonts w:ascii="StobiSerif Regular" w:hAnsi="StobiSerif Regular" w:cs="Calibri"/>
                <w:b/>
                <w:bCs/>
                <w:color w:val="000000"/>
                <w:lang w:val="en-GB" w:eastAsia="en-GB"/>
              </w:rPr>
              <w:t>165,672 м2</w:t>
            </w:r>
          </w:p>
        </w:tc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CB5737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516</w:t>
            </w:r>
            <w:r w:rsidR="00D34B11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,</w:t>
            </w: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216</w:t>
            </w:r>
            <w:r w:rsidR="00D34B11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 xml:space="preserve"> м2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97,471 м2</w:t>
            </w:r>
          </w:p>
        </w:tc>
      </w:tr>
    </w:tbl>
    <w:p w:rsidR="00F63C62" w:rsidRDefault="00F63C62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F63C62" w:rsidRPr="00F63C62" w:rsidRDefault="00F63C62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E033C0" w:rsidRPr="00F23626" w:rsidRDefault="00E033C0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en-AU"/>
        </w:rPr>
      </w:pPr>
    </w:p>
    <w:p w:rsidR="00F20BB9" w:rsidRPr="00F23626" w:rsidRDefault="00F20BB9" w:rsidP="00CF009D">
      <w:pPr>
        <w:ind w:left="-567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F20BB9" w:rsidRDefault="00F20BB9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F23626" w:rsidRDefault="00F23626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A77C9C" w:rsidRDefault="00A77C9C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A77C9C" w:rsidRDefault="00A77C9C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A77C9C" w:rsidRPr="00A77C9C" w:rsidRDefault="00A77C9C" w:rsidP="00CF009D">
      <w:pPr>
        <w:jc w:val="both"/>
        <w:rPr>
          <w:rFonts w:ascii="MS Reference Sans Serif" w:hAnsi="MS Reference Sans Serif" w:cs="StobiSerif Regular"/>
          <w:sz w:val="22"/>
          <w:szCs w:val="22"/>
        </w:rPr>
      </w:pPr>
    </w:p>
    <w:p w:rsidR="00F23626" w:rsidRPr="00F23626" w:rsidRDefault="00F23626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CB43E5" w:rsidRPr="00F23626" w:rsidRDefault="00CB43E5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CB43E5" w:rsidRPr="0013419B" w:rsidRDefault="00E033C0" w:rsidP="00CF009D">
      <w:pPr>
        <w:jc w:val="both"/>
        <w:rPr>
          <w:rFonts w:ascii="MS Reference Sans Serif" w:hAnsi="MS Reference Sans Serif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b/>
          <w:sz w:val="22"/>
          <w:szCs w:val="22"/>
          <w:lang w:val="mk-MK"/>
        </w:rPr>
        <w:t xml:space="preserve">Улици </w:t>
      </w:r>
      <w:r w:rsidR="00A77C9C">
        <w:rPr>
          <w:rFonts w:ascii="MS Reference Sans Serif" w:hAnsi="MS Reference Sans Serif" w:cs="StobiSerif Regular"/>
          <w:b/>
          <w:sz w:val="22"/>
          <w:szCs w:val="22"/>
          <w:lang w:val="mk-MK"/>
        </w:rPr>
        <w:t>Трета</w:t>
      </w:r>
      <w:r w:rsidRPr="00F23626">
        <w:rPr>
          <w:rFonts w:ascii="MS Reference Sans Serif" w:hAnsi="MS Reference Sans Serif" w:cs="StobiSerif Regular"/>
          <w:b/>
          <w:sz w:val="22"/>
          <w:szCs w:val="22"/>
          <w:lang w:val="mk-MK"/>
        </w:rPr>
        <w:t xml:space="preserve"> категорија</w:t>
      </w:r>
    </w:p>
    <w:tbl>
      <w:tblPr>
        <w:tblW w:w="9922" w:type="dxa"/>
        <w:tblInd w:w="-795" w:type="dxa"/>
        <w:tblLayout w:type="fixed"/>
        <w:tblLook w:val="04A0"/>
      </w:tblPr>
      <w:tblGrid>
        <w:gridCol w:w="708"/>
        <w:gridCol w:w="1843"/>
        <w:gridCol w:w="1418"/>
        <w:gridCol w:w="1417"/>
        <w:gridCol w:w="1559"/>
        <w:gridCol w:w="1418"/>
        <w:gridCol w:w="1559"/>
      </w:tblGrid>
      <w:tr w:rsidR="00D34B11" w:rsidRPr="00D34B11" w:rsidTr="00D34B11">
        <w:trPr>
          <w:trHeight w:val="9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ind w:right="-90"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Ред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Улица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Квадратура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Бројнапометувањенеделно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13419B">
            <w:pPr>
              <w:suppressAutoHyphens w:val="0"/>
              <w:overflowPunct/>
              <w:autoSpaceDE/>
              <w:spacing w:after="100" w:afterAutospacing="1"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Бројнамиење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Бројнапометувањемесечно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Бројнамиење</w:t>
            </w:r>
            <w:r w:rsidRPr="0013419B"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месечно</w:t>
            </w:r>
          </w:p>
        </w:tc>
      </w:tr>
      <w:tr w:rsidR="00D34B11" w:rsidRPr="00D34B11" w:rsidTr="00D34B11">
        <w:trPr>
          <w:trHeight w:val="945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Бр.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рачно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13419B">
            <w:pPr>
              <w:suppressAutoHyphens w:val="0"/>
              <w:overflowPunct/>
              <w:autoSpaceDE/>
              <w:spacing w:after="100" w:afterAutospacing="1"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месечно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машинско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машинскосопреденилизаденмлаз</w:t>
            </w:r>
          </w:p>
        </w:tc>
      </w:tr>
      <w:tr w:rsidR="00D34B11" w:rsidRPr="00D34B11" w:rsidTr="0013419B">
        <w:trPr>
          <w:trHeight w:val="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13419B">
            <w:pPr>
              <w:suppressAutoHyphens w:val="0"/>
              <w:overflowPunct/>
              <w:autoSpaceDE/>
              <w:spacing w:after="100" w:afterAutospacing="1"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рачно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Партизанска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4657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11ти Октомври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745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ЛазоМицев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1568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МаксимГорки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2432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Охридска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1100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Љубашкадоул.ГоцеДелчев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1408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Љубашкадоул.Илинденска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3549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Бул.НиколаМинчев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11340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Бул.ВидоеСмилевски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5288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Шишкаод 7ми Септемвридоул.РајкоЖинзифов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12193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 w:themeColor="text1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Слога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2200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ПаркингБул. Македонија (кајцркваСв. Петка)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1515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ПаркингБул. Македонија (спроти УЈП)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1663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ПаркингЦветанДимов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3101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ПаркингВељкоВлаовиќ( кајновиотсуд)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2058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ПаркингнаБулеварКочоРацин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1193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ПаркинзинаулицаИгман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662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3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Вкупно: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196,112 м2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CB5737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FF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  <w:lang w:val="mk-MK" w:eastAsia="en-GB"/>
              </w:rPr>
              <w:t>68</w:t>
            </w:r>
            <w:r w:rsidR="00D34B11" w:rsidRPr="0013419B"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>.</w:t>
            </w:r>
            <w:r w:rsidRPr="0013419B"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  <w:lang w:val="mk-MK" w:eastAsia="en-GB"/>
              </w:rPr>
              <w:t>865</w:t>
            </w:r>
            <w:r w:rsidR="00D34B11" w:rsidRPr="0013419B">
              <w:rPr>
                <w:rFonts w:ascii="StobiSerif Regular" w:hAnsi="StobiSerif Regular" w:cs="Calibri"/>
                <w:b/>
                <w:bCs/>
                <w:color w:val="000000" w:themeColor="text1"/>
                <w:sz w:val="16"/>
                <w:szCs w:val="16"/>
                <w:lang w:val="en-GB" w:eastAsia="en-GB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185,920 м2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13419B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3419B">
              <w:rPr>
                <w:rFonts w:ascii="StobiSerif Regular" w:hAnsi="StobiSerif Regular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75,301 м2</w:t>
            </w:r>
          </w:p>
        </w:tc>
      </w:tr>
    </w:tbl>
    <w:p w:rsidR="00F2653D" w:rsidRDefault="00F2653D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D34B11" w:rsidRDefault="00D34B11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D34B11" w:rsidRDefault="00D34B11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D34B11" w:rsidRDefault="00D34B11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  <w:lang w:val="mk-MK"/>
        </w:rPr>
      </w:pPr>
    </w:p>
    <w:p w:rsidR="00E033C0" w:rsidRPr="00F23626" w:rsidRDefault="00E033C0" w:rsidP="00CF009D">
      <w:pPr>
        <w:jc w:val="both"/>
        <w:rPr>
          <w:rFonts w:ascii="MS Reference Sans Serif" w:hAnsi="MS Reference Sans Serif"/>
          <w:sz w:val="22"/>
          <w:szCs w:val="22"/>
        </w:rPr>
      </w:pPr>
      <w:r w:rsidRPr="00F23626">
        <w:rPr>
          <w:rFonts w:ascii="MS Reference Sans Serif" w:hAnsi="MS Reference Sans Serif" w:cs="StobiSerif Regular"/>
          <w:b/>
          <w:sz w:val="22"/>
          <w:szCs w:val="22"/>
        </w:rPr>
        <w:t>Улици 4та категорија</w:t>
      </w:r>
    </w:p>
    <w:p w:rsidR="00E033C0" w:rsidRPr="00F23626" w:rsidRDefault="00E033C0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</w:rPr>
      </w:pPr>
    </w:p>
    <w:p w:rsidR="00E033C0" w:rsidRPr="00F23626" w:rsidRDefault="00E033C0" w:rsidP="00CF009D">
      <w:pPr>
        <w:jc w:val="both"/>
        <w:rPr>
          <w:rFonts w:ascii="MS Reference Sans Serif" w:hAnsi="MS Reference Sans Serif" w:cs="StobiSerif Regular"/>
          <w:b/>
          <w:sz w:val="22"/>
          <w:szCs w:val="22"/>
        </w:rPr>
      </w:pPr>
    </w:p>
    <w:tbl>
      <w:tblPr>
        <w:tblW w:w="9922" w:type="dxa"/>
        <w:tblInd w:w="-795" w:type="dxa"/>
        <w:tblLayout w:type="fixed"/>
        <w:tblLook w:val="04A0"/>
      </w:tblPr>
      <w:tblGrid>
        <w:gridCol w:w="708"/>
        <w:gridCol w:w="1843"/>
        <w:gridCol w:w="1418"/>
        <w:gridCol w:w="1417"/>
        <w:gridCol w:w="1559"/>
        <w:gridCol w:w="1418"/>
        <w:gridCol w:w="1559"/>
      </w:tblGrid>
      <w:tr w:rsidR="00D34B11" w:rsidRPr="00D34B11" w:rsidTr="00D34B11">
        <w:trPr>
          <w:trHeight w:val="960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Ред. бр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Улица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Квадратура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Бројнапометувањемесечно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Бројнамиење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Бројнапометувањемесечно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Бројнамиење</w:t>
            </w:r>
            <w:r w:rsidRPr="00A77C9C">
              <w:rPr>
                <w:rFonts w:ascii="StobiSerif Regular" w:hAnsi="StobiSerif Regular" w:cs="Calibri"/>
                <w:b/>
                <w:bCs/>
                <w:color w:val="000000"/>
                <w:lang w:val="en-GB" w:eastAsia="en-GB"/>
              </w:rPr>
              <w:t>месечно</w:t>
            </w:r>
          </w:p>
        </w:tc>
      </w:tr>
      <w:tr w:rsidR="00D34B11" w:rsidRPr="00D34B11" w:rsidTr="00D34B11">
        <w:trPr>
          <w:trHeight w:val="94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рачно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месечно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машинско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машинскосопреденилизаденмлаз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A77C9C">
              <w:rPr>
                <w:rFonts w:ascii="Calibri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A77C9C">
              <w:rPr>
                <w:rFonts w:ascii="Calibri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рачно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A77C9C">
              <w:rPr>
                <w:rFonts w:ascii="Calibri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A77C9C">
              <w:rPr>
                <w:rFonts w:ascii="Calibri" w:hAnsi="Calibri" w:cs="Calibri"/>
                <w:color w:val="000000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15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ЗападенБулевародЈугоКомерцдоул.Вишешница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6048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ул.МишоШкартов,,доНов,,Западенбулевар,,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ул.НовзападенБулевар(триаголник)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2503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</w:tr>
      <w:tr w:rsidR="00D34B11" w:rsidRPr="00D34B11" w:rsidTr="00D34B11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ЗападенБулевародВишешницадо В.В Тиквеш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8039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</w:tr>
      <w:tr w:rsidR="00D34B11" w:rsidRPr="00D34B11" w:rsidTr="00D34B11">
        <w:trPr>
          <w:trHeight w:val="15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ЗападенБул. ОдВ.В.ТиквешдоНовкружентелк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6500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</w:tr>
      <w:tr w:rsidR="00D34B11" w:rsidRPr="00D34B11" w:rsidTr="00D34B11">
        <w:trPr>
          <w:trHeight w:val="15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ЗападенБул. ОдновкружентекдоизлезРосоман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14107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bookmarkStart w:id="0" w:name="RANGE!A10"/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</w:t>
            </w:r>
            <w:bookmarkEnd w:id="0"/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СеверенБулевар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</w:tr>
      <w:tr w:rsidR="00D34B11" w:rsidRPr="00D34B11" w:rsidTr="003971A2">
        <w:trPr>
          <w:trHeight w:val="15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ШишкаодРајкоЖинзифовдоул.Достоевски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5085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D34B11" w:rsidRPr="00D34B11" w:rsidTr="003971A2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ШишкаодДостоевскидонас.Глишиќ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16888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D34B11" w:rsidRPr="00D34B11" w:rsidTr="003971A2">
        <w:trPr>
          <w:trHeight w:val="96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Нас.БелКаменсопаркинг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Индустрисканаселба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4530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Ул.Индустриска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3720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15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Бул. МошаПијадеодИндустрискадоБул. ЦветанДимов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6220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Бул.ЦветанДимов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7456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Бул. МакедонијадоНиколаМинчев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3669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Бул. МакедонијадоБлажоАлексов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6695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Бул.ВељкоВлаховиќсопаркинг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6231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D34B11" w:rsidRPr="00D34B11" w:rsidTr="00D34B11">
        <w:trPr>
          <w:trHeight w:val="15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БлажоАлексовсоЃорѓиСоколовдоСеверенБул.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4800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Косовска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826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Игман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3534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Словенска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2608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Козара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409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ПрилепскадоспојсоГ.Делчев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889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ЃуроСалајсопаркинг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2689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3971A2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СолунскаГлава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2292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3971A2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НароднаМладина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3971A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Егејска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Јадранска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04.јул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2045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Пелистерска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1434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2Бригада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976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Прилепскакајпожарната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1777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ГорскиВенец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442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Пелагонија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746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Раштани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692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ПитуГули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467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БожоДимов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1575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МирчеАцев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1396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ОрцеНиколовдобул.Македонија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3016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FF0000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ОрцеНиколовод( ВанеМиновРибаречки</w:t>
            </w:r>
            <w:r w:rsidRPr="00A77C9C">
              <w:rPr>
                <w:rFonts w:ascii="StobiSerif Regular" w:hAnsi="StobiSerif Regular" w:cs="Calibri"/>
                <w:color w:val="FF0000"/>
                <w:lang w:val="en-GB" w:eastAsia="en-GB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159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ЃорѓиСоколоводбул.МакедонијадоСеверенбул.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2324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ПрвиМај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1338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БлагојКрстиќ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МилеВчков и БраќаХ.Тефови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3927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ИвоЛ.Рибар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972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ИлоКостов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1542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mk-MK" w:eastAsia="en-GB"/>
              </w:rPr>
            </w:pPr>
          </w:p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mk-MK" w:eastAsia="en-GB"/>
              </w:rPr>
            </w:pPr>
          </w:p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ЌироСпанџов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mk-MK" w:eastAsia="en-GB"/>
              </w:rPr>
            </w:pPr>
          </w:p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5500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</w:p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</w:p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</w:p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</w:p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ЛазоСтојанов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1067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МараДимова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D34B11" w:rsidRPr="00D34B11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РајнаСоколова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1049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D34B11" w:rsidRPr="00D34B11" w:rsidTr="003971A2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БорисКидриќ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819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3971A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Ленинова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2045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3971A2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СремскиФронт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Кирил и Методиј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1147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Бошавска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853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НовБелград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1073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НаќоЛазовски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2561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Дисанска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10173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Дисанскакрак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2611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Дисанскаделнаселба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Вардарска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3842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ДонеПопов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1643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ГлигорПрличев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993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РајкоЖинзифов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4344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25.мај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3216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ЃуроЃаковиќ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3233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Младост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1975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РадеКончар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402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69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Његош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937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Достоевски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3362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27.мар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5628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СаваКовачевиќ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2228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ВераЦ.Трена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746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ДимеЧокорот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2862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ПероВидев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1184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ДанкоДафков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2286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 Другари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5298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Клинска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1361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Калница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1152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  <w:p w:rsidR="00270718" w:rsidRP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</w:p>
        </w:tc>
      </w:tr>
      <w:tr w:rsidR="00474175" w:rsidRPr="00474175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КироКрстеводСлогадоигралиште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3311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Брушанска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2255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Шакалица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ДимчеМирчев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1802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3971A2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Струшка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1900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3971A2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КрстеМисирков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3971A2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БраќаМиладинови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МетодијаЏ.Џикот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12899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ИлчоДимов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89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КироАрсов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1651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РистоЏондев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1591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Моклишка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1598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Фуштани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ПанеЏунов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2812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БлажоИцев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1029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04.мај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2775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Праведничка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2556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Бегнишка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1094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 Бригада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1994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ФевруарскиПоход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1202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Трибор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1556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Полошка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2215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14.мај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2773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16.јун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3649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Карпош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1259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КироМитрев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1088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Витачево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2325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ЃореБрушански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7000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127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СтрашоПинџуродваташкимостдоСлога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16473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109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ПаркингзградиСилекс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1820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  <w:p w:rsid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</w:p>
          <w:p w:rsidR="00270718" w:rsidRPr="00270718" w:rsidRDefault="00270718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mk-MK"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lastRenderedPageBreak/>
              <w:t>110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Стив Наумов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1229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НародниХерои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2094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Беласица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1474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Авала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1984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Преспа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2370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3971A2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115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Браќа Џ. (кадро)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A77C9C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/>
                <w:lang w:val="en-GB" w:eastAsia="en-GB"/>
              </w:rPr>
            </w:pPr>
            <w:r w:rsidRPr="00A77C9C">
              <w:rPr>
                <w:rFonts w:ascii="StobiSerif Regular" w:hAnsi="StobiSerif Regular" w:cs="Calibri"/>
                <w:color w:val="000000"/>
                <w:lang w:val="en-GB" w:eastAsia="en-GB"/>
              </w:rPr>
              <w:t>474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3971A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Галишка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3971A2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ВасилГлавинов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118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ЈованПланински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2805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119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41 Девизија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ДимеТуриманџов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2028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9 Бригада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3010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ПиринскадоспојсоРесавска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3539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Црноречкадесенкрак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2138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Црноречкалевкрак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889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Црноречкасреденкарк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2186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ЦрноречкаНешковски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1194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Црноречкаспојсо 9Бригада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3671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Единство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745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Ваташка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799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Радњанска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783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Пролетерска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1141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ЈанеСандански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680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КолеПодлешки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432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Задругарска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2914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8ми март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792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Сутјеска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1985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ЃорѓиСугаре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2294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138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ДешкаТошева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3331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lastRenderedPageBreak/>
              <w:t>139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ПиринскадоДешкаТошева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578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БлажоТодоров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682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НиколаКарев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636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ДамеГруев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688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Скопска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1149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3971A2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22.дек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792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3971A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ПанеМешков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3971A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ДаскалКамче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ВанчоНиколевски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499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БороВаташки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1105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149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Васил Х. Јорданов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584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12те Деца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446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7ми Април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7517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Бигла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1265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ВладимирНадзор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1528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ГлигорПрличев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2611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ДимеПоцев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413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Енгелсова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889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ИванМазев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782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159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Моклиште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1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ЈованчеВелков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2200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НацаПинџурова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1750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61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ЃорѓиХаџиЈорданов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480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ТасеБошков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2040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ПетреЈуруков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840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ЦарСамуил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520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A77C9C">
        <w:trPr>
          <w:trHeight w:val="900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166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КејнаЛудаМара (одваташадоСеверенБулевар)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16600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A77C9C">
        <w:trPr>
          <w:trHeight w:val="8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ПешачкапатекаГлишиќдоМарена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2875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A77C9C">
        <w:trPr>
          <w:trHeight w:val="828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168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Пешачкапатека,,12 децаМоклиште,,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19709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45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lastRenderedPageBreak/>
              <w:t>169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12 ДецаСпоменик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170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ВаноГунов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615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171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ДобриДаскалов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485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63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172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ДимеАтанасов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387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3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173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БраќаДосеви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</w:tr>
      <w:tr w:rsidR="00474175" w:rsidRPr="00474175" w:rsidTr="00D34B11">
        <w:trPr>
          <w:trHeight w:val="300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Вкупно: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CB5737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767</w:t>
            </w:r>
            <w:r w:rsidR="00D34B11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.</w:t>
            </w: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221</w:t>
            </w:r>
            <w:r w:rsidR="00D34B11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 xml:space="preserve"> м2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CB5737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452</w:t>
            </w:r>
            <w:r w:rsidR="00D34B11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,</w:t>
            </w: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487</w:t>
            </w:r>
            <w:r w:rsidR="00D34B11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 xml:space="preserve"> м2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1,</w:t>
            </w:r>
            <w:r w:rsidR="00CB5737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668</w:t>
            </w: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,</w:t>
            </w:r>
            <w:r w:rsidR="00CB5737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398</w:t>
            </w: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 xml:space="preserve"> м2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CB5737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</w:pP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528</w:t>
            </w:r>
            <w:r w:rsidR="00D34B11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>,</w:t>
            </w:r>
            <w:r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mk-MK" w:eastAsia="en-GB"/>
              </w:rPr>
              <w:t>088</w:t>
            </w:r>
            <w:r w:rsidR="00D34B11" w:rsidRPr="00474175">
              <w:rPr>
                <w:rFonts w:ascii="StobiSerif Regular" w:hAnsi="StobiSerif Regular" w:cs="Calibri"/>
                <w:b/>
                <w:bCs/>
                <w:color w:val="000000" w:themeColor="text1"/>
                <w:lang w:val="en-GB" w:eastAsia="en-GB"/>
              </w:rPr>
              <w:t xml:space="preserve"> м2</w:t>
            </w:r>
          </w:p>
        </w:tc>
      </w:tr>
      <w:tr w:rsidR="00474175" w:rsidRPr="00474175" w:rsidTr="00D34B11">
        <w:trPr>
          <w:trHeight w:val="33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4B11" w:rsidRPr="00474175" w:rsidRDefault="00D34B11" w:rsidP="00CF009D">
            <w:pPr>
              <w:suppressAutoHyphens w:val="0"/>
              <w:overflowPunct/>
              <w:autoSpaceDE/>
              <w:jc w:val="both"/>
              <w:textAlignment w:val="auto"/>
              <w:rPr>
                <w:rFonts w:ascii="StobiSerif Regular" w:hAnsi="StobiSerif Regular" w:cs="Calibri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</w:tr>
    </w:tbl>
    <w:p w:rsidR="00E033C0" w:rsidRPr="00474175" w:rsidRDefault="00E033C0" w:rsidP="00CF009D">
      <w:pPr>
        <w:jc w:val="both"/>
        <w:rPr>
          <w:rFonts w:ascii="MS Reference Sans Serif" w:eastAsia="StobiSerif Regular" w:hAnsi="MS Reference Sans Serif" w:cs="StobiSerif Regular"/>
          <w:b/>
          <w:color w:val="000000" w:themeColor="text1"/>
          <w:sz w:val="22"/>
          <w:szCs w:val="22"/>
          <w:lang w:val="en-GB"/>
        </w:rPr>
      </w:pPr>
    </w:p>
    <w:p w:rsidR="00E033C0" w:rsidRPr="00474175" w:rsidRDefault="00E033C0" w:rsidP="00CF009D">
      <w:pPr>
        <w:jc w:val="both"/>
        <w:rPr>
          <w:rFonts w:ascii="MS Reference Sans Serif" w:hAnsi="MS Reference Sans Serif"/>
          <w:color w:val="000000" w:themeColor="text1"/>
          <w:sz w:val="22"/>
          <w:szCs w:val="22"/>
        </w:rPr>
      </w:pPr>
      <w:r w:rsidRPr="00474175"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  <w:t>Рурални Средини</w:t>
      </w:r>
    </w:p>
    <w:p w:rsidR="00E033C0" w:rsidRPr="00474175" w:rsidRDefault="00E033C0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</w:pPr>
    </w:p>
    <w:tbl>
      <w:tblPr>
        <w:tblW w:w="9372" w:type="dxa"/>
        <w:tblInd w:w="-511" w:type="dxa"/>
        <w:tblLayout w:type="fixed"/>
        <w:tblLook w:val="0000"/>
      </w:tblPr>
      <w:tblGrid>
        <w:gridCol w:w="1086"/>
        <w:gridCol w:w="1432"/>
        <w:gridCol w:w="1843"/>
        <w:gridCol w:w="2410"/>
        <w:gridCol w:w="2601"/>
      </w:tblGrid>
      <w:tr w:rsidR="00474175" w:rsidRPr="00474175" w:rsidTr="00CF009D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Ред. Бр.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Село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Квадратура м2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 xml:space="preserve">Број на </w:t>
            </w:r>
            <w:r w:rsidR="005C5071"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 xml:space="preserve">машинско </w:t>
            </w: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 xml:space="preserve">пометување годишно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Број на миење годишно  рачно</w:t>
            </w:r>
          </w:p>
        </w:tc>
      </w:tr>
      <w:tr w:rsidR="00474175" w:rsidRPr="00474175" w:rsidTr="00CF009D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Возарци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en-GB"/>
              </w:rPr>
              <w:t>110</w:t>
            </w: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46186F" w:rsidP="00CF009D">
            <w:pPr>
              <w:snapToGrid w:val="0"/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C0" w:rsidRPr="00474175" w:rsidRDefault="00CF009D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4</w:t>
            </w:r>
          </w:p>
        </w:tc>
      </w:tr>
      <w:tr w:rsidR="00474175" w:rsidRPr="00474175" w:rsidTr="00CF009D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Дреново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11 000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46186F" w:rsidP="00CF009D">
            <w:pPr>
              <w:snapToGrid w:val="0"/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C0" w:rsidRPr="00474175" w:rsidRDefault="00CF009D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4</w:t>
            </w:r>
          </w:p>
        </w:tc>
      </w:tr>
      <w:tr w:rsidR="00474175" w:rsidRPr="00474175" w:rsidTr="00CF009D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Марена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10 000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46186F" w:rsidP="00CF009D">
            <w:pPr>
              <w:snapToGrid w:val="0"/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C0" w:rsidRPr="00474175" w:rsidRDefault="00CF009D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4</w:t>
            </w:r>
          </w:p>
        </w:tc>
      </w:tr>
      <w:tr w:rsidR="00474175" w:rsidRPr="00474175" w:rsidTr="00CF009D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Сопот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10 000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46186F" w:rsidP="00CF009D">
            <w:pPr>
              <w:snapToGrid w:val="0"/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C0" w:rsidRPr="00474175" w:rsidRDefault="00CF009D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4</w:t>
            </w:r>
          </w:p>
        </w:tc>
      </w:tr>
      <w:tr w:rsidR="00474175" w:rsidRPr="00474175" w:rsidTr="00CF009D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B11" w:rsidRPr="00474175" w:rsidRDefault="00D34B11" w:rsidP="00CF009D">
            <w:pPr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B11" w:rsidRPr="00474175" w:rsidRDefault="00D34B11" w:rsidP="00CF009D">
            <w:pPr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Ресава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B11" w:rsidRPr="00474175" w:rsidRDefault="00D34B11" w:rsidP="00CF009D">
            <w:pPr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10 000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B11" w:rsidRPr="00474175" w:rsidRDefault="00D34B11" w:rsidP="00CF009D">
            <w:pPr>
              <w:snapToGrid w:val="0"/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11" w:rsidRPr="00474175" w:rsidRDefault="00CF009D" w:rsidP="00CF009D">
            <w:pPr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4</w:t>
            </w:r>
          </w:p>
        </w:tc>
      </w:tr>
      <w:tr w:rsidR="00474175" w:rsidRPr="00474175" w:rsidTr="00CF009D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B11" w:rsidRPr="00474175" w:rsidRDefault="00D34B11" w:rsidP="00CF009D">
            <w:pPr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B11" w:rsidRPr="00474175" w:rsidRDefault="00D34B11" w:rsidP="00CF009D">
            <w:pPr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Бегниште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B11" w:rsidRPr="00474175" w:rsidRDefault="00D34B11" w:rsidP="00CF009D">
            <w:pPr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10 000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B11" w:rsidRPr="00474175" w:rsidRDefault="00D34B11" w:rsidP="00CF009D">
            <w:pPr>
              <w:snapToGrid w:val="0"/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11" w:rsidRPr="00474175" w:rsidRDefault="00CF009D" w:rsidP="00CF009D">
            <w:pPr>
              <w:jc w:val="both"/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color w:val="000000" w:themeColor="text1"/>
                <w:sz w:val="22"/>
                <w:szCs w:val="22"/>
                <w:lang w:val="mk-MK"/>
              </w:rPr>
              <w:t>4</w:t>
            </w:r>
          </w:p>
        </w:tc>
      </w:tr>
      <w:tr w:rsidR="00474175" w:rsidRPr="00474175" w:rsidTr="00CF009D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snapToGrid w:val="0"/>
              <w:jc w:val="both"/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E033C0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Вкупно: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CF009D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6</w:t>
            </w:r>
            <w:r w:rsidR="00E033C0"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en-GB"/>
              </w:rPr>
              <w:t>20</w:t>
            </w:r>
            <w:r w:rsidR="00E033C0"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00м2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3C0" w:rsidRPr="00474175" w:rsidRDefault="00CF009D" w:rsidP="00CF009D">
            <w:pPr>
              <w:snapToGrid w:val="0"/>
              <w:jc w:val="both"/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 xml:space="preserve">496 </w:t>
            </w:r>
            <w:r w:rsidR="0046186F"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000 м2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C0" w:rsidRPr="00474175" w:rsidRDefault="00CF009D" w:rsidP="00CF009D">
            <w:pPr>
              <w:jc w:val="both"/>
              <w:rPr>
                <w:rFonts w:ascii="MS Reference Sans Serif" w:hAnsi="MS Reference Sans Serif"/>
                <w:color w:val="000000" w:themeColor="text1"/>
                <w:sz w:val="22"/>
                <w:szCs w:val="22"/>
              </w:rPr>
            </w:pPr>
            <w:r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>248</w:t>
            </w:r>
            <w:r w:rsidR="00E033C0" w:rsidRPr="00474175">
              <w:rPr>
                <w:rFonts w:ascii="MS Reference Sans Serif" w:hAnsi="MS Reference Sans Serif" w:cs="StobiSerif Regular"/>
                <w:b/>
                <w:color w:val="000000" w:themeColor="text1"/>
                <w:sz w:val="22"/>
                <w:szCs w:val="22"/>
                <w:lang w:val="mk-MK"/>
              </w:rPr>
              <w:t xml:space="preserve"> 000м2</w:t>
            </w:r>
          </w:p>
        </w:tc>
      </w:tr>
    </w:tbl>
    <w:p w:rsidR="007814C7" w:rsidRPr="00474175" w:rsidRDefault="007814C7" w:rsidP="00CF009D">
      <w:pPr>
        <w:jc w:val="both"/>
        <w:rPr>
          <w:rFonts w:ascii="MS Reference Sans Serif" w:hAnsi="MS Reference Sans Serif"/>
          <w:color w:val="000000" w:themeColor="text1"/>
          <w:sz w:val="22"/>
          <w:szCs w:val="22"/>
          <w:lang w:val="mk-MK"/>
        </w:rPr>
      </w:pPr>
    </w:p>
    <w:p w:rsidR="007814C7" w:rsidRPr="00474175" w:rsidRDefault="007814C7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</w:pPr>
    </w:p>
    <w:p w:rsidR="007814C7" w:rsidRPr="00474175" w:rsidRDefault="007814C7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</w:pPr>
    </w:p>
    <w:p w:rsidR="007814C7" w:rsidRPr="00474175" w:rsidRDefault="007814C7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</w:pPr>
    </w:p>
    <w:p w:rsidR="00912E5A" w:rsidRPr="00474175" w:rsidRDefault="00912E5A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</w:pPr>
    </w:p>
    <w:p w:rsidR="00912E5A" w:rsidRPr="00474175" w:rsidRDefault="00912E5A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</w:pPr>
    </w:p>
    <w:p w:rsidR="00E033C0" w:rsidRPr="00474175" w:rsidRDefault="00E033C0" w:rsidP="00CF009D">
      <w:pPr>
        <w:jc w:val="both"/>
        <w:rPr>
          <w:rFonts w:ascii="MS Reference Sans Serif" w:hAnsi="MS Reference Sans Serif"/>
          <w:color w:val="000000" w:themeColor="text1"/>
          <w:sz w:val="22"/>
          <w:szCs w:val="22"/>
        </w:rPr>
      </w:pPr>
      <w:r w:rsidRPr="00474175"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  <w:t>1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.</w:t>
      </w:r>
      <w:r w:rsidRPr="00474175">
        <w:rPr>
          <w:rFonts w:ascii="MS Reference Sans Serif" w:hAnsi="MS Reference Sans Serif" w:cs="StobiSerif Regular"/>
          <w:b/>
          <w:bCs/>
          <w:color w:val="000000" w:themeColor="text1"/>
          <w:sz w:val="22"/>
          <w:szCs w:val="22"/>
          <w:lang w:val="mk-MK"/>
        </w:rPr>
        <w:t>Рачното пометување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 на улици ќе се врши со метла од заечка трава или сирка при што пометувањето ќе се врши на една третина од улицата т.е. тротоарот и 1 метар од коловозот каде што се собира и најголемата количина од смет</w:t>
      </w:r>
      <w:r w:rsidR="00BD7B2D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.</w:t>
      </w:r>
    </w:p>
    <w:p w:rsidR="007814C7" w:rsidRPr="00474175" w:rsidRDefault="007814C7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</w:p>
    <w:p w:rsidR="00E033C0" w:rsidRPr="00474175" w:rsidRDefault="00E033C0" w:rsidP="00CF009D">
      <w:pPr>
        <w:jc w:val="both"/>
        <w:rPr>
          <w:rFonts w:ascii="MS Reference Sans Serif" w:hAnsi="MS Reference Sans Serif"/>
          <w:color w:val="000000" w:themeColor="text1"/>
          <w:sz w:val="22"/>
          <w:szCs w:val="22"/>
        </w:rPr>
      </w:pP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2.</w:t>
      </w:r>
      <w:r w:rsidR="00BD7B2D" w:rsidRPr="00474175"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  <w:t>Рачното миење</w:t>
      </w:r>
      <w:r w:rsidR="00BD7B2D" w:rsidRPr="00474175">
        <w:rPr>
          <w:rFonts w:ascii="MS Reference Sans Serif" w:hAnsi="MS Reference Sans Serif" w:cs="StobiSerif Regular"/>
          <w:b/>
          <w:bCs/>
          <w:color w:val="000000" w:themeColor="text1"/>
          <w:sz w:val="22"/>
          <w:szCs w:val="22"/>
          <w:lang w:val="mk-MK"/>
        </w:rPr>
        <w:t xml:space="preserve"> на улиците ќе се врши со цистерна и дополнително</w:t>
      </w:r>
      <w:r w:rsidRPr="00474175">
        <w:rPr>
          <w:rFonts w:ascii="MS Reference Sans Serif" w:hAnsi="MS Reference Sans Serif" w:cs="StobiSerif Regular"/>
          <w:b/>
          <w:bCs/>
          <w:color w:val="000000" w:themeColor="text1"/>
          <w:sz w:val="22"/>
          <w:szCs w:val="22"/>
          <w:lang w:val="mk-MK"/>
        </w:rPr>
        <w:t xml:space="preserve"> два</w:t>
      </w:r>
      <w:r w:rsidR="00BD7B2D" w:rsidRPr="00474175">
        <w:rPr>
          <w:rFonts w:ascii="MS Reference Sans Serif" w:hAnsi="MS Reference Sans Serif" w:cs="StobiSerif Regular"/>
          <w:b/>
          <w:bCs/>
          <w:color w:val="000000" w:themeColor="text1"/>
          <w:sz w:val="22"/>
          <w:szCs w:val="22"/>
          <w:lang w:val="mk-MK"/>
        </w:rPr>
        <w:t xml:space="preserve"> работници кои ќе оперираат со </w:t>
      </w:r>
      <w:r w:rsidR="00C2790F" w:rsidRPr="00474175">
        <w:rPr>
          <w:rFonts w:ascii="MS Reference Sans Serif" w:hAnsi="MS Reference Sans Serif" w:cs="StobiSerif Regular"/>
          <w:b/>
          <w:bCs/>
          <w:color w:val="000000" w:themeColor="text1"/>
          <w:sz w:val="22"/>
          <w:szCs w:val="22"/>
          <w:lang w:val="mk-MK"/>
        </w:rPr>
        <w:t xml:space="preserve">задниот млаз </w:t>
      </w:r>
      <w:r w:rsidR="00BD7B2D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 а истото 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ќе се врши на коловозот</w:t>
      </w:r>
      <w:r w:rsidR="00BD7B2D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 и на тротоарите каде што има услови</w:t>
      </w:r>
      <w:r w:rsidR="00C2790F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 за истото да биде ефикасно.</w:t>
      </w:r>
    </w:p>
    <w:p w:rsidR="007814C7" w:rsidRPr="00474175" w:rsidRDefault="007814C7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</w:p>
    <w:p w:rsidR="00E033C0" w:rsidRPr="00474175" w:rsidRDefault="00E033C0" w:rsidP="00CF009D">
      <w:pPr>
        <w:jc w:val="both"/>
        <w:rPr>
          <w:rFonts w:ascii="MS Reference Sans Serif" w:hAnsi="MS Reference Sans Serif"/>
          <w:color w:val="000000" w:themeColor="text1"/>
          <w:sz w:val="22"/>
          <w:szCs w:val="22"/>
        </w:rPr>
      </w:pP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3</w:t>
      </w:r>
      <w:r w:rsidRPr="00474175">
        <w:rPr>
          <w:rFonts w:ascii="MS Reference Sans Serif" w:hAnsi="MS Reference Sans Serif" w:cs="StobiSerif Regular"/>
          <w:b/>
          <w:bCs/>
          <w:color w:val="000000" w:themeColor="text1"/>
          <w:sz w:val="22"/>
          <w:szCs w:val="22"/>
          <w:lang w:val="mk-MK"/>
        </w:rPr>
        <w:t>.Машинското миење со предни или задни млазеви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 ќе се врши само </w:t>
      </w:r>
      <w:r w:rsidR="00C2790F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со цистерна и ќе се спроведува само на коловозните ленти и сообраќајниците.</w:t>
      </w:r>
    </w:p>
    <w:p w:rsidR="00E033C0" w:rsidRPr="00474175" w:rsidRDefault="00E033C0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</w:p>
    <w:p w:rsidR="00E033C0" w:rsidRPr="00474175" w:rsidRDefault="00E033C0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4</w:t>
      </w:r>
      <w:r w:rsidRPr="00474175">
        <w:rPr>
          <w:rFonts w:ascii="MS Reference Sans Serif" w:hAnsi="MS Reference Sans Serif" w:cs="StobiSerif Regular"/>
          <w:b/>
          <w:bCs/>
          <w:color w:val="000000" w:themeColor="text1"/>
          <w:sz w:val="22"/>
          <w:szCs w:val="22"/>
          <w:lang w:val="mk-MK"/>
        </w:rPr>
        <w:t>.Машиското пометување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 ќе се врши по два метра од коловозот од двете страни,а ќе бидат опфатени претежно булевари и улици каде нема паркирано голем број на возила за да истото биде поефикасно</w:t>
      </w:r>
      <w:r w:rsidR="00C2790F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.</w:t>
      </w:r>
    </w:p>
    <w:p w:rsidR="00E033C0" w:rsidRPr="00474175" w:rsidRDefault="00E033C0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</w:pPr>
    </w:p>
    <w:p w:rsidR="00E033C0" w:rsidRPr="00474175" w:rsidRDefault="00E033C0" w:rsidP="00CF009D">
      <w:pPr>
        <w:jc w:val="both"/>
        <w:rPr>
          <w:rFonts w:ascii="MS Reference Sans Serif" w:hAnsi="MS Reference Sans Serif"/>
          <w:color w:val="000000" w:themeColor="text1"/>
          <w:sz w:val="22"/>
          <w:szCs w:val="22"/>
        </w:rPr>
      </w:pP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За квалитетно и комплетно реализирање на Програмата и оператив</w:t>
      </w:r>
      <w:r w:rsidR="00C2790F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ниот план за работа потребно е Јавното претпри</w:t>
      </w:r>
      <w:r w:rsidR="00007D19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ј</w:t>
      </w:r>
      <w:r w:rsidR="00C2790F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атие Комуналец да ги стави на располагање сите свои ресурси  и 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извршители а пометувањето и миењето  на улиците </w:t>
      </w:r>
      <w:r w:rsidR="00C2790F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да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 се врши во 1 ва, 2ра и 3та смена во зависност од временските услови и фреквенцијата на луѓе и возила.</w:t>
      </w:r>
    </w:p>
    <w:p w:rsidR="00E033C0" w:rsidRDefault="00E033C0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</w:p>
    <w:p w:rsidR="00270718" w:rsidRPr="00474175" w:rsidRDefault="00270718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</w:p>
    <w:p w:rsidR="00173989" w:rsidRDefault="00173989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</w:p>
    <w:p w:rsidR="00E033C0" w:rsidRPr="00474175" w:rsidRDefault="00007D19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Доколку во тековната година се јави потребата за перење и чистење на улици на кои е наталожена п</w:t>
      </w:r>
      <w:r w:rsidR="00E033C0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оголема количина на наслаги од кал и песок на ивиците и потребно е прво гребење и собирање на истиот а потоа 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пометување и миење потребно е да се предвиди дел од средтствата од оваа програма за таа намена.</w:t>
      </w:r>
    </w:p>
    <w:p w:rsidR="00F23626" w:rsidRPr="00474175" w:rsidRDefault="00F23626" w:rsidP="00CF009D">
      <w:pPr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</w:pPr>
    </w:p>
    <w:p w:rsidR="00CB5737" w:rsidRPr="00173989" w:rsidRDefault="00E033C0" w:rsidP="00CF009D">
      <w:pPr>
        <w:jc w:val="both"/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</w:pPr>
      <w:r w:rsidRPr="00474175">
        <w:rPr>
          <w:rFonts w:ascii="MS Reference Sans Serif" w:hAnsi="MS Reference Sans Serif" w:cs="StobiSerif Regular"/>
          <w:b/>
          <w:color w:val="000000" w:themeColor="text1"/>
          <w:sz w:val="22"/>
          <w:szCs w:val="22"/>
          <w:lang w:val="mk-MK"/>
        </w:rPr>
        <w:t>-Приходен дел –</w:t>
      </w:r>
    </w:p>
    <w:p w:rsidR="001F5DDF" w:rsidRPr="00687A55" w:rsidRDefault="00E033C0" w:rsidP="00CF009D">
      <w:pPr>
        <w:ind w:firstLine="720"/>
        <w:jc w:val="both"/>
        <w:rPr>
          <w:rFonts w:ascii="MS Reference Sans Serif" w:hAnsi="MS Reference Sans Serif" w:cs="StobiSerif Regular"/>
          <w:color w:val="000000" w:themeColor="text1"/>
          <w:sz w:val="22"/>
          <w:szCs w:val="22"/>
        </w:rPr>
      </w:pP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Прог</w:t>
      </w:r>
      <w:r w:rsidR="0076393C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рамата за јавна чистота  за 202</w:t>
      </w:r>
      <w:r w:rsidR="00CF009D"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6</w:t>
      </w: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 xml:space="preserve"> година во Општина Кавадарци  се финансира од надоместокот за јавна чистота што се наплаќа на сметките за извршена услуга од страна на ЈП Комуналец Кавадарци спрема граѓаните  на Општина Кавадарци</w:t>
      </w:r>
      <w:r w:rsidR="00687A55">
        <w:rPr>
          <w:rFonts w:ascii="MS Reference Sans Serif" w:hAnsi="MS Reference Sans Serif" w:cs="StobiSerif Regular"/>
          <w:color w:val="000000" w:themeColor="text1"/>
          <w:sz w:val="22"/>
          <w:szCs w:val="22"/>
        </w:rPr>
        <w:t>,</w:t>
      </w:r>
      <w:r w:rsidR="00687A55" w:rsidRPr="00E6074A">
        <w:rPr>
          <w:rFonts w:ascii="StobiSerif Regular" w:hAnsi="StobiSerif Regular"/>
          <w:sz w:val="22"/>
          <w:szCs w:val="22"/>
          <w:lang w:val="mk-MK"/>
        </w:rPr>
        <w:t xml:space="preserve">изнесува </w:t>
      </w:r>
      <w:r w:rsidR="00687A55">
        <w:rPr>
          <w:rFonts w:ascii="StobiSerif Regular" w:hAnsi="StobiSerif Regular"/>
          <w:sz w:val="22"/>
          <w:szCs w:val="22"/>
        </w:rPr>
        <w:t>25</w:t>
      </w:r>
      <w:r w:rsidR="00687A55" w:rsidRPr="00E6074A">
        <w:rPr>
          <w:rFonts w:ascii="StobiSerif Regular" w:hAnsi="StobiSerif Regular"/>
          <w:sz w:val="22"/>
          <w:szCs w:val="22"/>
          <w:lang w:val="mk-MK"/>
        </w:rPr>
        <w:t>.</w:t>
      </w:r>
      <w:r w:rsidR="00687A55">
        <w:rPr>
          <w:rFonts w:ascii="StobiSerif Regular" w:hAnsi="StobiSerif Regular"/>
          <w:sz w:val="22"/>
          <w:szCs w:val="22"/>
        </w:rPr>
        <w:t>5</w:t>
      </w:r>
      <w:r w:rsidR="00687A55" w:rsidRPr="00E6074A">
        <w:rPr>
          <w:rFonts w:ascii="StobiSerif Regular" w:hAnsi="StobiSerif Regular"/>
          <w:sz w:val="22"/>
          <w:szCs w:val="22"/>
          <w:lang w:val="mk-MK"/>
        </w:rPr>
        <w:t>00.000 денари со вклучен</w:t>
      </w:r>
      <w:r w:rsidR="00687A55">
        <w:rPr>
          <w:rFonts w:ascii="StobiSerif Regular" w:hAnsi="StobiSerif Regular"/>
          <w:sz w:val="22"/>
          <w:szCs w:val="22"/>
          <w:lang w:val="mk-MK"/>
        </w:rPr>
        <w:t xml:space="preserve"> и пресметан</w:t>
      </w:r>
      <w:r w:rsidR="00687A55" w:rsidRPr="00E6074A">
        <w:rPr>
          <w:rFonts w:ascii="StobiSerif Regular" w:hAnsi="StobiSerif Regular"/>
          <w:sz w:val="22"/>
          <w:szCs w:val="22"/>
          <w:lang w:val="mk-MK"/>
        </w:rPr>
        <w:t xml:space="preserve"> ДДВ </w:t>
      </w:r>
      <w:r w:rsidR="00687A55">
        <w:rPr>
          <w:rFonts w:ascii="StobiSerif Regular" w:hAnsi="StobiSerif Regular"/>
          <w:sz w:val="22"/>
          <w:szCs w:val="22"/>
          <w:lang w:val="mk-MK"/>
        </w:rPr>
        <w:t>во Програмата за комунални дејности</w:t>
      </w:r>
    </w:p>
    <w:p w:rsidR="00912E5A" w:rsidRPr="00173989" w:rsidRDefault="00E033C0" w:rsidP="00173989">
      <w:pPr>
        <w:ind w:firstLine="720"/>
        <w:jc w:val="both"/>
        <w:rPr>
          <w:rFonts w:ascii="MS Reference Sans Serif" w:hAnsi="MS Reference Sans Serif"/>
          <w:color w:val="000000" w:themeColor="text1"/>
          <w:sz w:val="22"/>
          <w:szCs w:val="22"/>
          <w:lang w:val="mk-MK"/>
        </w:rPr>
      </w:pPr>
      <w:r w:rsidRPr="00474175">
        <w:rPr>
          <w:rFonts w:ascii="MS Reference Sans Serif" w:hAnsi="MS Reference Sans Serif" w:cs="StobiSerif Regular"/>
          <w:color w:val="000000" w:themeColor="text1"/>
          <w:sz w:val="22"/>
          <w:szCs w:val="22"/>
          <w:lang w:val="mk-MK"/>
        </w:rPr>
        <w:t>Собраните средства се префрлаат месечно на Буџетот на Општина Кавадарци, и со прибраните средства  се врши исплата за услугата што ја врши ЈП,,Комуналец,,согласно доставените документи за исплата .</w:t>
      </w:r>
    </w:p>
    <w:p w:rsidR="00E033C0" w:rsidRPr="00173989" w:rsidRDefault="00E033C0" w:rsidP="00CF009D">
      <w:pPr>
        <w:jc w:val="both"/>
        <w:rPr>
          <w:rFonts w:ascii="MS Reference Sans Serif" w:hAnsi="MS Reference Sans Serif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b/>
          <w:sz w:val="22"/>
          <w:szCs w:val="22"/>
          <w:lang w:val="mk-MK"/>
        </w:rPr>
        <w:t>-Расходен дел-</w:t>
      </w:r>
    </w:p>
    <w:p w:rsidR="00E033C0" w:rsidRPr="00173989" w:rsidRDefault="00E033C0" w:rsidP="00CF009D">
      <w:pPr>
        <w:jc w:val="both"/>
        <w:rPr>
          <w:rFonts w:ascii="MS Reference Sans Serif" w:hAnsi="MS Reference Sans Serif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b/>
          <w:sz w:val="22"/>
          <w:szCs w:val="22"/>
          <w:lang w:val="mk-MK"/>
        </w:rPr>
        <w:tab/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Програмата и оперативниот план за работа  на Јавно прометните површини  за 202</w:t>
      </w:r>
      <w:r w:rsidR="00CF009D">
        <w:rPr>
          <w:rFonts w:ascii="MS Reference Sans Serif" w:hAnsi="MS Reference Sans Serif" w:cs="StobiSerif Regular"/>
          <w:sz w:val="22"/>
          <w:szCs w:val="22"/>
          <w:lang w:val="mk-MK"/>
        </w:rPr>
        <w:t>6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година  се  планира да  се  реализира  на   следниот начин:</w:t>
      </w:r>
    </w:p>
    <w:p w:rsidR="00187E52" w:rsidRPr="00F23626" w:rsidRDefault="00E033C0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Во </w:t>
      </w:r>
      <w:r w:rsidR="00007D19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текот на целата календарска година односно од месец Јануари до месец Декември </w:t>
      </w:r>
      <w:r w:rsidR="009263F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работите 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да</w:t>
      </w:r>
      <w:r w:rsidR="009263F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бидат извршувани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во 1-ва и 2ра смена</w:t>
      </w:r>
      <w:r w:rsidR="009263F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а по потреба 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да</w:t>
      </w:r>
      <w:r w:rsidR="009263F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биде воведена и  3-та смена, со цел поефикасно и навремено извршување на работите предвидени со оваа Програма.</w:t>
      </w:r>
    </w:p>
    <w:p w:rsidR="00187E52" w:rsidRPr="00F23626" w:rsidRDefault="00187E52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A77C9C" w:rsidRDefault="00E033C0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Од  стр</w:t>
      </w:r>
      <w:r w:rsidR="009263F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ана на </w:t>
      </w:r>
      <w:r w:rsidR="009263F4" w:rsidRPr="00D633C2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механизација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предвидено еда</w:t>
      </w:r>
      <w:r w:rsidR="009263F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се користат</w:t>
      </w:r>
      <w:r w:rsidR="00A77C9C">
        <w:rPr>
          <w:rFonts w:ascii="MS Reference Sans Serif" w:hAnsi="MS Reference Sans Serif" w:cs="StobiSerif Regular"/>
          <w:sz w:val="22"/>
          <w:szCs w:val="22"/>
          <w:lang w:val="mk-MK"/>
        </w:rPr>
        <w:t>:</w:t>
      </w:r>
    </w:p>
    <w:p w:rsidR="00D633C2" w:rsidRDefault="00D633C2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A77C9C" w:rsidRDefault="00D633C2" w:rsidP="00A77C9C">
      <w:pPr>
        <w:pStyle w:val="ListParagraph"/>
        <w:numPr>
          <w:ilvl w:val="0"/>
          <w:numId w:val="3"/>
        </w:num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>
        <w:rPr>
          <w:rFonts w:ascii="MS Reference Sans Serif" w:hAnsi="MS Reference Sans Serif" w:cs="StobiSerif Regular"/>
          <w:sz w:val="22"/>
          <w:szCs w:val="22"/>
          <w:lang w:val="mk-MK"/>
        </w:rPr>
        <w:t>Три</w:t>
      </w:r>
      <w:r w:rsidR="009263F4" w:rsidRPr="00A77C9C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цистерни</w:t>
      </w:r>
      <w:r w:rsidR="00A77C9C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кои според потребите можат да работат и машинско и рачно перење;</w:t>
      </w:r>
    </w:p>
    <w:p w:rsidR="00D633C2" w:rsidRDefault="00A77C9C" w:rsidP="00A77C9C">
      <w:pPr>
        <w:pStyle w:val="ListParagraph"/>
        <w:numPr>
          <w:ilvl w:val="0"/>
          <w:numId w:val="3"/>
        </w:num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Две моторни метларки со поголем обем кои по потреба се </w:t>
      </w:r>
      <w:r w:rsidR="00D633C2">
        <w:rPr>
          <w:rFonts w:ascii="MS Reference Sans Serif" w:hAnsi="MS Reference Sans Serif" w:cs="StobiSerif Regular"/>
          <w:sz w:val="22"/>
          <w:szCs w:val="22"/>
          <w:lang w:val="mk-MK"/>
        </w:rPr>
        <w:t>користат и за собирање на трева и лисник;</w:t>
      </w:r>
    </w:p>
    <w:p w:rsidR="00D633C2" w:rsidRDefault="00D633C2" w:rsidP="00A77C9C">
      <w:pPr>
        <w:pStyle w:val="ListParagraph"/>
        <w:numPr>
          <w:ilvl w:val="0"/>
          <w:numId w:val="3"/>
        </w:num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>
        <w:rPr>
          <w:rFonts w:ascii="MS Reference Sans Serif" w:hAnsi="MS Reference Sans Serif" w:cs="StobiSerif Regular"/>
          <w:sz w:val="22"/>
          <w:szCs w:val="22"/>
          <w:lang w:val="mk-MK"/>
        </w:rPr>
        <w:t>Три моторни метларки од помал обем;</w:t>
      </w:r>
    </w:p>
    <w:p w:rsidR="00A77C9C" w:rsidRDefault="00D633C2" w:rsidP="00A77C9C">
      <w:pPr>
        <w:pStyle w:val="ListParagraph"/>
        <w:numPr>
          <w:ilvl w:val="0"/>
          <w:numId w:val="3"/>
        </w:num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>
        <w:rPr>
          <w:rFonts w:ascii="MS Reference Sans Serif" w:hAnsi="MS Reference Sans Serif" w:cs="StobiSerif Regular"/>
          <w:sz w:val="22"/>
          <w:szCs w:val="22"/>
          <w:lang w:val="mk-MK"/>
        </w:rPr>
        <w:t>Две електрични метларки кои се користат за тротоарите и плоштадот а во вонредни ситуации и скип-ровокопач, трактор или камион во зависност од потребата</w:t>
      </w:r>
      <w:r w:rsidR="00E033C0" w:rsidRPr="00A77C9C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. </w:t>
      </w:r>
    </w:p>
    <w:p w:rsidR="00D633C2" w:rsidRPr="00173989" w:rsidRDefault="00D633C2" w:rsidP="00173989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033C0" w:rsidRPr="00F23626" w:rsidRDefault="00E033C0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D633C2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Миењето на улиците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 ќе се врши  во текот на целата година во согласност со временските услови.</w:t>
      </w:r>
    </w:p>
    <w:p w:rsidR="00187E52" w:rsidRPr="00F23626" w:rsidRDefault="00E033C0" w:rsidP="00CF009D">
      <w:pPr>
        <w:jc w:val="both"/>
        <w:rPr>
          <w:rFonts w:ascii="MS Reference Sans Serif" w:hAnsi="MS Reference Sans Serif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Метењето на улиците  од 1-ва категорија ќе се врши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со интензитет од</w:t>
      </w:r>
      <w:r w:rsidRPr="00F23626">
        <w:rPr>
          <w:rFonts w:ascii="MS Reference Sans Serif" w:hAnsi="MS Reference Sans Serif" w:cs="StobiSerif Regular"/>
          <w:sz w:val="22"/>
          <w:szCs w:val="22"/>
          <w:lang w:val="en-GB"/>
        </w:rPr>
        <w:t>6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до 8 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пати неделно.</w:t>
      </w:r>
    </w:p>
    <w:p w:rsidR="00187E52" w:rsidRPr="00F23626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При </w:t>
      </w:r>
      <w:r w:rsidRPr="00D633C2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метењето  на  улиците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 од</w:t>
      </w:r>
      <w:r w:rsidR="001F5DDF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1-ва,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2-ра и 3-та кетегорија  да  бидат вклучени  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рачни електрични и моторни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метларки.</w:t>
      </w:r>
    </w:p>
    <w:p w:rsidR="00173989" w:rsidRPr="00F23626" w:rsidRDefault="00E033C0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Метларките  да  бидат активни и при пометување на  Градски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от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плоштад,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тротоарите во централното градско подрачје, 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паркинзи</w:t>
      </w:r>
      <w:r w:rsidR="001F5DDF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те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,речно корито и сите улици и булевари  каде нема паркирани  возила   или бројот  на  паркирани  возила  е </w:t>
      </w:r>
      <w:r w:rsidR="00187E52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минимален.</w:t>
      </w:r>
    </w:p>
    <w:p w:rsidR="007814C7" w:rsidRDefault="00E033C0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D633C2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 xml:space="preserve">Метењето  на улиците  </w:t>
      </w:r>
      <w:r w:rsidR="001F5DDF" w:rsidRPr="00D633C2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да се врши од еден метар  од  коловозот</w:t>
      </w:r>
      <w:r w:rsidRPr="00D633C2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 xml:space="preserve"> до тротоарот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каде се  собира  и најголемата  количина на ѓубре а изборот  на улиците  е направен  да бидат опфатени сообраќајници  со  поголема  фрекфенција  на возила,  а со цел   за  поквалитетно пометување и одржување на висок степен на јавна чистота.</w:t>
      </w:r>
    </w:p>
    <w:p w:rsidR="00173989" w:rsidRDefault="00173989" w:rsidP="00CF009D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D633C2" w:rsidRDefault="00D633C2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71923" w:rsidRDefault="00E033C0" w:rsidP="00D633C2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Покрај   редовните  активности пропишани по </w:t>
      </w:r>
      <w:r w:rsidRPr="00A77C9C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Програмата  за </w:t>
      </w:r>
      <w:r w:rsidR="00A77C9C" w:rsidRPr="00A77C9C">
        <w:rPr>
          <w:rFonts w:ascii="MS Reference Sans Serif" w:hAnsi="MS Reference Sans Serif" w:cs="StobiSerif Regular"/>
          <w:sz w:val="22"/>
          <w:szCs w:val="22"/>
          <w:lang w:val="mk-MK"/>
        </w:rPr>
        <w:t>Јавно прометни површини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ќе</w:t>
      </w:r>
      <w:r w:rsidR="00D7300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се 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врши редовно одржување на јавната  чистота на  Тиквешки</w:t>
      </w:r>
      <w:r w:rsidR="001F5DDF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от</w:t>
      </w:r>
      <w:r w:rsidR="00CF009D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гроздобер </w:t>
      </w:r>
      <w:r w:rsidR="009745AF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и</w:t>
      </w:r>
      <w:r w:rsidR="001F5DDF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други манифестаци и настани организирани од страна на Општина Кавадарци.</w:t>
      </w:r>
    </w:p>
    <w:p w:rsidR="00D633C2" w:rsidRPr="00F23626" w:rsidRDefault="00D633C2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E71923" w:rsidRPr="00F23626" w:rsidRDefault="00E71923" w:rsidP="00D633C2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Оваа </w:t>
      </w:r>
      <w:r w:rsidRPr="00D633C2">
        <w:rPr>
          <w:rFonts w:ascii="MS Reference Sans Serif" w:hAnsi="MS Reference Sans Serif" w:cs="StobiSerif Regular"/>
          <w:b/>
          <w:bCs/>
          <w:sz w:val="22"/>
          <w:szCs w:val="22"/>
          <w:lang w:val="mk-MK"/>
        </w:rPr>
        <w:t>Програма ги опфаќа и чистењето и одржувањето на хигиената на градските фонтани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кое е планирано да се изршува со интензитет минимум еднаш во неделата.</w:t>
      </w:r>
    </w:p>
    <w:p w:rsidR="00A228EA" w:rsidRPr="00F23626" w:rsidRDefault="00A228EA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1F5DDF" w:rsidRPr="00F23626" w:rsidRDefault="00A228EA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ab/>
      </w:r>
      <w:r w:rsidR="00D7300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Исто така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 во оваа Програма потребно е да се предвидат</w:t>
      </w:r>
      <w:r w:rsidR="009745AF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и средства наменети за активности предизвикани од елемента</w:t>
      </w:r>
      <w:r w:rsidR="00D7300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рни непогоди, в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онредни ситуации како и дејствија</w:t>
      </w:r>
      <w:r w:rsidR="00D7300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превземени по налог од комунален испектор, инспектор за животна средина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, Мој Општинар</w:t>
      </w:r>
      <w:r w:rsidR="00D73004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и други служби во согласност со своите овластувања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.</w:t>
      </w:r>
    </w:p>
    <w:p w:rsidR="001F5DDF" w:rsidRPr="00F23626" w:rsidRDefault="00A228EA" w:rsidP="00173989">
      <w:pPr>
        <w:ind w:firstLine="720"/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П</w:t>
      </w:r>
      <w:r w:rsidR="00E033C0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окрај редовните активности пропишани по Програмата по барање на овластените службеници ќе се вршат и вонредни активности со цел подигање на јавната чистота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на целата територија на Општина Кавадарци. </w:t>
      </w:r>
    </w:p>
    <w:p w:rsidR="00E033C0" w:rsidRPr="00173989" w:rsidRDefault="00A228EA" w:rsidP="00173989">
      <w:pPr>
        <w:ind w:firstLine="720"/>
        <w:jc w:val="both"/>
        <w:rPr>
          <w:rFonts w:ascii="MS Reference Sans Serif" w:hAnsi="MS Reference Sans Serif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Со оваа програма потребно е да се предвидат</w:t>
      </w:r>
      <w:r w:rsidR="001F5DDF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и</w:t>
      </w:r>
      <w:r w:rsidR="00DD44B1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сред</w:t>
      </w: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ства за одржување на градските фонтани кои се наоѓаат на плоштадот, парковите и булеварите </w:t>
      </w:r>
      <w:r w:rsidR="001F5DDF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на територијата на град Кавадарци.</w:t>
      </w:r>
    </w:p>
    <w:p w:rsidR="007814C7" w:rsidRPr="00F23626" w:rsidRDefault="007814C7" w:rsidP="00CF009D">
      <w:pPr>
        <w:jc w:val="both"/>
        <w:rPr>
          <w:rFonts w:ascii="MS Reference Sans Serif" w:hAnsi="MS Reference Sans Serif" w:cs="StobiSerif Regular"/>
          <w:sz w:val="22"/>
          <w:szCs w:val="22"/>
          <w:lang w:val="mk-MK"/>
        </w:rPr>
      </w:pPr>
    </w:p>
    <w:p w:rsidR="005411CF" w:rsidRPr="00173989" w:rsidRDefault="001F5DDF" w:rsidP="00173989">
      <w:pPr>
        <w:ind w:firstLine="720"/>
        <w:jc w:val="both"/>
        <w:rPr>
          <w:rFonts w:ascii="MS Reference Sans Serif" w:hAnsi="MS Reference Sans Serif"/>
          <w:sz w:val="22"/>
          <w:szCs w:val="22"/>
          <w:lang w:val="mk-MK"/>
        </w:rPr>
      </w:pPr>
      <w:r w:rsidRPr="00F23626">
        <w:rPr>
          <w:rFonts w:ascii="MS Reference Sans Serif" w:hAnsi="MS Reference Sans Serif" w:cs="StobiSerif Regular"/>
          <w:sz w:val="22"/>
          <w:szCs w:val="22"/>
          <w:lang w:val="mk-MK"/>
        </w:rPr>
        <w:t>Ов</w:t>
      </w:r>
      <w:r w:rsidR="00E033C0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аа Програма  влегува  во сила </w:t>
      </w:r>
      <w:r w:rsidR="001C5FBD">
        <w:rPr>
          <w:rFonts w:ascii="MS Reference Sans Serif" w:hAnsi="MS Reference Sans Serif" w:cs="StobiSerif Regular"/>
          <w:sz w:val="22"/>
          <w:szCs w:val="22"/>
          <w:lang w:val="mk-MK"/>
        </w:rPr>
        <w:t>(</w:t>
      </w:r>
      <w:r w:rsidR="00E033C0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 </w:t>
      </w:r>
      <w:r w:rsidR="001C5FBD">
        <w:rPr>
          <w:rFonts w:ascii="MS Reference Sans Serif" w:hAnsi="MS Reference Sans Serif" w:cs="StobiSerif Regular"/>
          <w:sz w:val="22"/>
          <w:szCs w:val="22"/>
          <w:lang w:val="mk-MK"/>
        </w:rPr>
        <w:t>8 )</w:t>
      </w:r>
      <w:r w:rsidR="00E033C0" w:rsidRPr="00F23626">
        <w:rPr>
          <w:rFonts w:ascii="MS Reference Sans Serif" w:hAnsi="MS Reference Sans Serif" w:cs="StobiSerif Regular"/>
          <w:sz w:val="22"/>
          <w:szCs w:val="22"/>
          <w:lang w:val="mk-MK"/>
        </w:rPr>
        <w:t xml:space="preserve">осмиот ден  од  денот на објавувањето  во </w:t>
      </w:r>
      <w:r w:rsidR="001C5FBD">
        <w:rPr>
          <w:rFonts w:ascii="MS Reference Sans Serif" w:hAnsi="MS Reference Sans Serif" w:cs="StobiSerif Regular"/>
          <w:sz w:val="22"/>
          <w:szCs w:val="22"/>
          <w:lang w:val="mk-MK"/>
        </w:rPr>
        <w:t>,,</w:t>
      </w:r>
      <w:r w:rsidR="00E033C0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Сл. Гласник на Општина Кавадарци</w:t>
      </w:r>
      <w:r w:rsidR="001C5FBD">
        <w:rPr>
          <w:rFonts w:ascii="MS Reference Sans Serif" w:hAnsi="MS Reference Sans Serif" w:cs="StobiSerif Regular"/>
          <w:sz w:val="22"/>
          <w:szCs w:val="22"/>
          <w:lang w:val="mk-MK"/>
        </w:rPr>
        <w:t>“</w:t>
      </w:r>
      <w:r w:rsidR="00E033C0" w:rsidRPr="00F23626">
        <w:rPr>
          <w:rFonts w:ascii="MS Reference Sans Serif" w:hAnsi="MS Reference Sans Serif" w:cs="StobiSerif Regular"/>
          <w:sz w:val="22"/>
          <w:szCs w:val="22"/>
          <w:lang w:val="mk-MK"/>
        </w:rPr>
        <w:t>.</w:t>
      </w:r>
    </w:p>
    <w:p w:rsidR="009C48DB" w:rsidRPr="009C48DB" w:rsidRDefault="009C48DB" w:rsidP="009C48DB">
      <w:pPr>
        <w:suppressAutoHyphens w:val="0"/>
        <w:overflowPunct/>
        <w:autoSpaceDE/>
        <w:ind w:firstLine="720"/>
        <w:jc w:val="both"/>
        <w:textAlignment w:val="auto"/>
        <w:rPr>
          <w:sz w:val="24"/>
          <w:szCs w:val="24"/>
          <w:lang w:val="mk-MK" w:eastAsia="en-GB"/>
        </w:rPr>
      </w:pPr>
    </w:p>
    <w:tbl>
      <w:tblPr>
        <w:tblW w:w="9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0"/>
        <w:gridCol w:w="5262"/>
        <w:gridCol w:w="993"/>
        <w:gridCol w:w="1417"/>
        <w:gridCol w:w="535"/>
      </w:tblGrid>
      <w:tr w:rsidR="009C48DB" w:rsidRPr="009C48DB" w:rsidTr="001C5FBD">
        <w:trPr>
          <w:trHeight w:val="487"/>
          <w:jc w:val="center"/>
        </w:trPr>
        <w:tc>
          <w:tcPr>
            <w:tcW w:w="9177" w:type="dxa"/>
            <w:gridSpan w:val="5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b/>
                <w:sz w:val="24"/>
                <w:szCs w:val="24"/>
                <w:lang w:val="mk-MK" w:eastAsia="en-GB"/>
              </w:rPr>
              <w:t xml:space="preserve">СПЕЦИФИКАЦИЈА ЗА ОДРЖУВАЊЕ НА ЈАВНО ПРОМЕТНИ ПОВРШИНИ </w:t>
            </w:r>
          </w:p>
        </w:tc>
      </w:tr>
      <w:tr w:rsidR="009C48DB" w:rsidRPr="009C48DB" w:rsidTr="009C48DB">
        <w:trPr>
          <w:trHeight w:val="830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Ред.</w:t>
            </w:r>
          </w:p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Бр.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ВИД НА РАБОТА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Един.</w:t>
            </w:r>
          </w:p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мера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Количина</w:t>
            </w: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  <w:tr w:rsidR="009C48DB" w:rsidRPr="009C48DB" w:rsidTr="009C48DB">
        <w:trPr>
          <w:trHeight w:val="433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1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Рачно пометување на јавни површини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eastAsia="en-GB"/>
              </w:rPr>
              <w:t>m</w:t>
            </w:r>
            <w:r w:rsidRPr="009C48DB">
              <w:rPr>
                <w:rFonts w:ascii="Calibri" w:hAnsi="Calibri" w:cs="Calibri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1</w:t>
            </w:r>
          </w:p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  <w:tr w:rsidR="009C48DB" w:rsidRPr="009C48DB" w:rsidTr="009C48DB">
        <w:trPr>
          <w:trHeight w:val="399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2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Рачно гребење на јавни површини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eastAsia="en-GB"/>
              </w:rPr>
              <w:t>m</w:t>
            </w:r>
            <w:r w:rsidRPr="009C48DB">
              <w:rPr>
                <w:rFonts w:ascii="Calibri" w:hAnsi="Calibri" w:cs="Calibri"/>
                <w:sz w:val="24"/>
                <w:szCs w:val="24"/>
                <w:vertAlign w:val="superscript"/>
                <w:lang w:eastAsia="en-GB"/>
              </w:rPr>
              <w:t>’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  <w:tr w:rsidR="009C48DB" w:rsidRPr="009C48DB" w:rsidTr="009C48DB">
        <w:trPr>
          <w:trHeight w:val="420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3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Машинско пометување на јавни површини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eastAsia="en-GB"/>
              </w:rPr>
              <w:t>m</w:t>
            </w:r>
            <w:r w:rsidRPr="009C48DB">
              <w:rPr>
                <w:rFonts w:ascii="Calibri" w:hAnsi="Calibri" w:cs="Calibri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  <w:tr w:rsidR="009C48DB" w:rsidRPr="009C48DB" w:rsidTr="009C48DB">
        <w:trPr>
          <w:trHeight w:val="623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4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Машинско пометување на јавни површини во рурални средини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eastAsia="en-GB"/>
              </w:rPr>
              <w:t>m</w:t>
            </w:r>
            <w:r w:rsidRPr="009C48DB">
              <w:rPr>
                <w:rFonts w:ascii="Calibri" w:hAnsi="Calibri" w:cs="Calibri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  <w:tr w:rsidR="009C48DB" w:rsidRPr="009C48DB" w:rsidTr="009C48DB">
        <w:trPr>
          <w:trHeight w:val="477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5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Рачно миење на јавни површини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eastAsia="en-GB"/>
              </w:rPr>
              <w:t>m</w:t>
            </w:r>
            <w:r w:rsidRPr="009C48DB">
              <w:rPr>
                <w:rFonts w:ascii="Calibri" w:hAnsi="Calibri" w:cs="Calibri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  <w:tr w:rsidR="009C48DB" w:rsidRPr="009C48DB" w:rsidTr="009C48DB">
        <w:trPr>
          <w:trHeight w:val="427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6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Машинско миење на јавни површини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eastAsia="en-GB"/>
              </w:rPr>
              <w:t>m</w:t>
            </w:r>
            <w:r w:rsidRPr="009C48DB">
              <w:rPr>
                <w:rFonts w:ascii="Calibri" w:hAnsi="Calibri" w:cs="Calibri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  <w:tr w:rsidR="009C48DB" w:rsidRPr="009C48DB" w:rsidTr="009C48DB">
        <w:trPr>
          <w:trHeight w:val="623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7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Рачно миење на јавни површини во рурални средини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eastAsia="en-GB"/>
              </w:rPr>
              <w:t>m</w:t>
            </w:r>
            <w:r w:rsidRPr="009C48DB">
              <w:rPr>
                <w:rFonts w:ascii="Calibri" w:hAnsi="Calibri" w:cs="Calibri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  <w:tr w:rsidR="009C48DB" w:rsidRPr="009C48DB" w:rsidTr="009C48DB">
        <w:trPr>
          <w:trHeight w:val="623"/>
          <w:jc w:val="center"/>
        </w:trPr>
        <w:tc>
          <w:tcPr>
            <w:tcW w:w="970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8</w:t>
            </w:r>
          </w:p>
        </w:tc>
        <w:tc>
          <w:tcPr>
            <w:tcW w:w="5262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Миење, чистење и одржување на фонтани</w:t>
            </w:r>
          </w:p>
        </w:tc>
        <w:tc>
          <w:tcPr>
            <w:tcW w:w="993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  <w:r w:rsidRPr="009C48DB">
              <w:rPr>
                <w:rFonts w:ascii="Calibri" w:hAnsi="Calibri" w:cs="Calibri"/>
                <w:sz w:val="24"/>
                <w:szCs w:val="24"/>
                <w:lang w:val="mk-MK" w:eastAsia="en-GB"/>
              </w:rPr>
              <w:t>Бр.</w:t>
            </w:r>
          </w:p>
        </w:tc>
        <w:tc>
          <w:tcPr>
            <w:tcW w:w="1417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9C48DB" w:rsidRPr="009C48DB" w:rsidRDefault="009C48DB" w:rsidP="009C48DB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mk-MK" w:eastAsia="en-GB"/>
              </w:rPr>
            </w:pPr>
          </w:p>
        </w:tc>
      </w:tr>
    </w:tbl>
    <w:p w:rsidR="009C48DB" w:rsidRPr="009C48DB" w:rsidRDefault="009C48DB" w:rsidP="00173989">
      <w:pPr>
        <w:suppressAutoHyphens w:val="0"/>
        <w:overflowPunct/>
        <w:autoSpaceDE/>
        <w:textAlignment w:val="auto"/>
        <w:rPr>
          <w:b/>
          <w:sz w:val="24"/>
          <w:szCs w:val="24"/>
          <w:lang w:val="mk-MK" w:eastAsia="en-GB"/>
        </w:rPr>
      </w:pPr>
    </w:p>
    <w:p w:rsidR="007E2C62" w:rsidRPr="00173989" w:rsidRDefault="007E2C62" w:rsidP="00173989">
      <w:pPr>
        <w:jc w:val="both"/>
        <w:rPr>
          <w:sz w:val="22"/>
          <w:szCs w:val="22"/>
          <w:lang w:val="mk-MK" w:eastAsia="en-GB"/>
        </w:rPr>
      </w:pPr>
    </w:p>
    <w:p w:rsidR="001C5FBD" w:rsidRDefault="001C5FBD" w:rsidP="001C5FBD">
      <w:pPr>
        <w:jc w:val="both"/>
        <w:rPr>
          <w:rFonts w:ascii="StobiSerif Regular" w:hAnsi="StobiSerif Regular"/>
          <w:b/>
          <w:sz w:val="24"/>
          <w:szCs w:val="24"/>
        </w:rPr>
      </w:pPr>
      <w:r>
        <w:rPr>
          <w:rFonts w:ascii="StobiSerif Regular" w:hAnsi="StobiSerif Regular"/>
          <w:b/>
          <w:sz w:val="24"/>
          <w:szCs w:val="24"/>
        </w:rPr>
        <w:t>Бр.08-5977/</w:t>
      </w:r>
      <w:r>
        <w:rPr>
          <w:rFonts w:ascii="StobiSerif Regular" w:hAnsi="StobiSerif Regular"/>
          <w:b/>
          <w:sz w:val="24"/>
          <w:szCs w:val="24"/>
          <w:lang w:val="mk-MK"/>
        </w:rPr>
        <w:t>4</w:t>
      </w:r>
      <w:r>
        <w:rPr>
          <w:rFonts w:ascii="StobiSerif Regular" w:hAnsi="StobiSerif Regular"/>
          <w:b/>
          <w:sz w:val="24"/>
          <w:szCs w:val="24"/>
        </w:rPr>
        <w:t xml:space="preserve">  </w:t>
      </w:r>
      <w:r>
        <w:rPr>
          <w:rFonts w:ascii="StobiSerif Regular" w:hAnsi="StobiSerif Regular"/>
          <w:b/>
          <w:sz w:val="24"/>
          <w:szCs w:val="24"/>
        </w:rPr>
        <w:tab/>
      </w:r>
      <w:r>
        <w:rPr>
          <w:rFonts w:ascii="StobiSerif Regular" w:hAnsi="StobiSerif Regular"/>
          <w:b/>
          <w:sz w:val="24"/>
          <w:szCs w:val="24"/>
        </w:rPr>
        <w:tab/>
        <w:t xml:space="preserve">              СОВЕТ НА ОПШТИНА КАВАДАРЦИ</w:t>
      </w:r>
    </w:p>
    <w:p w:rsidR="001C5FBD" w:rsidRDefault="001C5FBD" w:rsidP="001C5FBD">
      <w:pPr>
        <w:jc w:val="both"/>
        <w:rPr>
          <w:rFonts w:ascii="StobiSerif Regular" w:hAnsi="StobiSerif Regular"/>
          <w:b/>
          <w:sz w:val="24"/>
          <w:szCs w:val="24"/>
        </w:rPr>
      </w:pPr>
      <w:r>
        <w:rPr>
          <w:rFonts w:ascii="StobiSerif Regular" w:hAnsi="StobiSerif Regular"/>
          <w:b/>
          <w:sz w:val="24"/>
          <w:szCs w:val="24"/>
        </w:rPr>
        <w:t>04.12.2025 година</w:t>
      </w:r>
      <w:r>
        <w:rPr>
          <w:rFonts w:ascii="StobiSerif Regular" w:hAnsi="StobiSerif Regular"/>
          <w:b/>
          <w:sz w:val="24"/>
          <w:szCs w:val="24"/>
        </w:rPr>
        <w:tab/>
      </w:r>
      <w:r>
        <w:rPr>
          <w:rFonts w:ascii="StobiSerif Regular" w:hAnsi="StobiSerif Regular"/>
          <w:b/>
          <w:sz w:val="24"/>
          <w:szCs w:val="24"/>
        </w:rPr>
        <w:tab/>
        <w:t xml:space="preserve">                                                Претседател, </w:t>
      </w:r>
    </w:p>
    <w:p w:rsidR="001C5FBD" w:rsidRDefault="001C5FBD" w:rsidP="001C5FBD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StobiSerif Regular" w:hAnsi="StobiSerif Regular"/>
          <w:b/>
          <w:sz w:val="24"/>
          <w:szCs w:val="24"/>
        </w:rPr>
        <w:t xml:space="preserve">К а в а д а р ц и                                                             д- р Стојанчо Рамов </w:t>
      </w:r>
    </w:p>
    <w:p w:rsidR="00E033C0" w:rsidRPr="00F23626" w:rsidRDefault="00E033C0">
      <w:pPr>
        <w:jc w:val="both"/>
        <w:rPr>
          <w:rFonts w:ascii="MS Reference Sans Serif" w:hAnsi="MS Reference Sans Serif"/>
          <w:sz w:val="22"/>
          <w:szCs w:val="22"/>
        </w:rPr>
      </w:pPr>
    </w:p>
    <w:sectPr w:rsidR="00E033C0" w:rsidRPr="00F23626" w:rsidSect="00D34B11">
      <w:footerReference w:type="default" r:id="rId8"/>
      <w:pgSz w:w="11906" w:h="16838"/>
      <w:pgMar w:top="709" w:right="1841" w:bottom="7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6B2" w:rsidRDefault="005556B2">
      <w:r>
        <w:separator/>
      </w:r>
    </w:p>
  </w:endnote>
  <w:endnote w:type="continuationSeparator" w:id="1">
    <w:p w:rsidR="005556B2" w:rsidRDefault="0055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718" w:rsidRDefault="00270718" w:rsidP="001C5FBD">
    <w:pPr>
      <w:pStyle w:val="Footer"/>
      <w:tabs>
        <w:tab w:val="clear" w:pos="4513"/>
        <w:tab w:val="center" w:pos="3960"/>
      </w:tabs>
      <w:jc w:val="right"/>
    </w:pPr>
    <w:fldSimple w:instr=" PAGE ">
      <w:r w:rsidR="00173989">
        <w:rPr>
          <w:noProof/>
        </w:rPr>
        <w:t>15</w:t>
      </w:r>
    </w:fldSimple>
  </w:p>
  <w:p w:rsidR="00270718" w:rsidRDefault="002707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6B2" w:rsidRDefault="005556B2">
      <w:r>
        <w:separator/>
      </w:r>
    </w:p>
  </w:footnote>
  <w:footnote w:type="continuationSeparator" w:id="1">
    <w:p w:rsidR="005556B2" w:rsidRDefault="00555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4CD5D8E"/>
    <w:multiLevelType w:val="hybridMultilevel"/>
    <w:tmpl w:val="07C2F532"/>
    <w:lvl w:ilvl="0" w:tplc="173EE2C4">
      <w:numFmt w:val="bullet"/>
      <w:lvlText w:val="-"/>
      <w:lvlJc w:val="left"/>
      <w:pPr>
        <w:ind w:left="1080" w:hanging="360"/>
      </w:pPr>
      <w:rPr>
        <w:rFonts w:ascii="MS Reference Sans Serif" w:eastAsia="Times New Roman" w:hAnsi="MS Reference Sans Serif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DD50EE"/>
    <w:rsid w:val="00004936"/>
    <w:rsid w:val="00007D19"/>
    <w:rsid w:val="000A6FAC"/>
    <w:rsid w:val="000C0C57"/>
    <w:rsid w:val="000E3F14"/>
    <w:rsid w:val="0011752B"/>
    <w:rsid w:val="0013230E"/>
    <w:rsid w:val="0013419B"/>
    <w:rsid w:val="00156525"/>
    <w:rsid w:val="00173989"/>
    <w:rsid w:val="00187E52"/>
    <w:rsid w:val="00187EE6"/>
    <w:rsid w:val="001B1508"/>
    <w:rsid w:val="001B5AA6"/>
    <w:rsid w:val="001B7878"/>
    <w:rsid w:val="001C5FBD"/>
    <w:rsid w:val="001F5DDF"/>
    <w:rsid w:val="00206224"/>
    <w:rsid w:val="0021114A"/>
    <w:rsid w:val="0024442B"/>
    <w:rsid w:val="00270718"/>
    <w:rsid w:val="002733D2"/>
    <w:rsid w:val="002B77EF"/>
    <w:rsid w:val="0030788D"/>
    <w:rsid w:val="0031562A"/>
    <w:rsid w:val="003525E0"/>
    <w:rsid w:val="003971A2"/>
    <w:rsid w:val="003A3D97"/>
    <w:rsid w:val="003C47EC"/>
    <w:rsid w:val="003F7DEC"/>
    <w:rsid w:val="00424807"/>
    <w:rsid w:val="00447D6C"/>
    <w:rsid w:val="004611B7"/>
    <w:rsid w:val="0046186F"/>
    <w:rsid w:val="00471B19"/>
    <w:rsid w:val="00474175"/>
    <w:rsid w:val="004B4DAE"/>
    <w:rsid w:val="004C138C"/>
    <w:rsid w:val="004E70F9"/>
    <w:rsid w:val="004F5CEB"/>
    <w:rsid w:val="00501BC4"/>
    <w:rsid w:val="005126F7"/>
    <w:rsid w:val="00522161"/>
    <w:rsid w:val="005411CF"/>
    <w:rsid w:val="005556B2"/>
    <w:rsid w:val="00595DA8"/>
    <w:rsid w:val="005C5071"/>
    <w:rsid w:val="005D3C14"/>
    <w:rsid w:val="005D3C70"/>
    <w:rsid w:val="005E7E91"/>
    <w:rsid w:val="005F72A5"/>
    <w:rsid w:val="0060198F"/>
    <w:rsid w:val="00687A55"/>
    <w:rsid w:val="006B6068"/>
    <w:rsid w:val="006D406F"/>
    <w:rsid w:val="006E469B"/>
    <w:rsid w:val="006F79D5"/>
    <w:rsid w:val="00702EF1"/>
    <w:rsid w:val="00712A59"/>
    <w:rsid w:val="0076370A"/>
    <w:rsid w:val="0076393C"/>
    <w:rsid w:val="00772C20"/>
    <w:rsid w:val="007814C7"/>
    <w:rsid w:val="007C358F"/>
    <w:rsid w:val="007D01A7"/>
    <w:rsid w:val="007E2C62"/>
    <w:rsid w:val="007F6EF3"/>
    <w:rsid w:val="00804006"/>
    <w:rsid w:val="008409E0"/>
    <w:rsid w:val="00883F25"/>
    <w:rsid w:val="008B5619"/>
    <w:rsid w:val="00910218"/>
    <w:rsid w:val="00912E5A"/>
    <w:rsid w:val="009146B9"/>
    <w:rsid w:val="0092269A"/>
    <w:rsid w:val="009263F4"/>
    <w:rsid w:val="009745AF"/>
    <w:rsid w:val="00975565"/>
    <w:rsid w:val="009847BE"/>
    <w:rsid w:val="0098701B"/>
    <w:rsid w:val="009B1599"/>
    <w:rsid w:val="009C48DB"/>
    <w:rsid w:val="009E0581"/>
    <w:rsid w:val="009E73A0"/>
    <w:rsid w:val="00A228EA"/>
    <w:rsid w:val="00A56913"/>
    <w:rsid w:val="00A77C9C"/>
    <w:rsid w:val="00AE7E88"/>
    <w:rsid w:val="00B15F7C"/>
    <w:rsid w:val="00B91E90"/>
    <w:rsid w:val="00BC695A"/>
    <w:rsid w:val="00BD7B2D"/>
    <w:rsid w:val="00BE087B"/>
    <w:rsid w:val="00BF3AAA"/>
    <w:rsid w:val="00C2790F"/>
    <w:rsid w:val="00C43FF8"/>
    <w:rsid w:val="00C46009"/>
    <w:rsid w:val="00C510AE"/>
    <w:rsid w:val="00C936D0"/>
    <w:rsid w:val="00CB43E5"/>
    <w:rsid w:val="00CB5737"/>
    <w:rsid w:val="00CD5D12"/>
    <w:rsid w:val="00CE67EE"/>
    <w:rsid w:val="00CF009D"/>
    <w:rsid w:val="00D0507F"/>
    <w:rsid w:val="00D30EC0"/>
    <w:rsid w:val="00D34B11"/>
    <w:rsid w:val="00D633C2"/>
    <w:rsid w:val="00D73004"/>
    <w:rsid w:val="00D80919"/>
    <w:rsid w:val="00D90A65"/>
    <w:rsid w:val="00DD44B1"/>
    <w:rsid w:val="00DD50EE"/>
    <w:rsid w:val="00E033C0"/>
    <w:rsid w:val="00E22562"/>
    <w:rsid w:val="00E448EF"/>
    <w:rsid w:val="00E45BB1"/>
    <w:rsid w:val="00E71923"/>
    <w:rsid w:val="00E750FA"/>
    <w:rsid w:val="00E90452"/>
    <w:rsid w:val="00E968CC"/>
    <w:rsid w:val="00F031F4"/>
    <w:rsid w:val="00F20BB9"/>
    <w:rsid w:val="00F23626"/>
    <w:rsid w:val="00F23FBC"/>
    <w:rsid w:val="00F2653D"/>
    <w:rsid w:val="00F36922"/>
    <w:rsid w:val="00F4467F"/>
    <w:rsid w:val="00F46EC4"/>
    <w:rsid w:val="00F63C62"/>
    <w:rsid w:val="00F873CB"/>
    <w:rsid w:val="00FD252A"/>
    <w:rsid w:val="00FD2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7B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BE087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E087B"/>
  </w:style>
  <w:style w:type="character" w:customStyle="1" w:styleId="WW8Num1z1">
    <w:name w:val="WW8Num1z1"/>
    <w:rsid w:val="00BE087B"/>
  </w:style>
  <w:style w:type="character" w:customStyle="1" w:styleId="WW8Num1z2">
    <w:name w:val="WW8Num1z2"/>
    <w:rsid w:val="00BE087B"/>
  </w:style>
  <w:style w:type="character" w:customStyle="1" w:styleId="WW8Num1z3">
    <w:name w:val="WW8Num1z3"/>
    <w:rsid w:val="00BE087B"/>
  </w:style>
  <w:style w:type="character" w:customStyle="1" w:styleId="WW8Num1z4">
    <w:name w:val="WW8Num1z4"/>
    <w:rsid w:val="00BE087B"/>
  </w:style>
  <w:style w:type="character" w:customStyle="1" w:styleId="WW8Num1z5">
    <w:name w:val="WW8Num1z5"/>
    <w:rsid w:val="00BE087B"/>
  </w:style>
  <w:style w:type="character" w:customStyle="1" w:styleId="WW8Num1z6">
    <w:name w:val="WW8Num1z6"/>
    <w:rsid w:val="00BE087B"/>
  </w:style>
  <w:style w:type="character" w:customStyle="1" w:styleId="WW8Num1z7">
    <w:name w:val="WW8Num1z7"/>
    <w:rsid w:val="00BE087B"/>
  </w:style>
  <w:style w:type="character" w:customStyle="1" w:styleId="WW8Num1z8">
    <w:name w:val="WW8Num1z8"/>
    <w:rsid w:val="00BE087B"/>
  </w:style>
  <w:style w:type="character" w:customStyle="1" w:styleId="WW8Num2z0">
    <w:name w:val="WW8Num2z0"/>
    <w:rsid w:val="00BE087B"/>
  </w:style>
  <w:style w:type="character" w:customStyle="1" w:styleId="WW-DefaultParagraphFont">
    <w:name w:val="WW-Default Paragraph Font"/>
    <w:rsid w:val="00BE087B"/>
  </w:style>
  <w:style w:type="character" w:customStyle="1" w:styleId="HeaderChar">
    <w:name w:val="Header Char"/>
    <w:rsid w:val="00BE087B"/>
    <w:rPr>
      <w:lang w:val="en-US"/>
    </w:rPr>
  </w:style>
  <w:style w:type="character" w:customStyle="1" w:styleId="FooterChar">
    <w:name w:val="Footer Char"/>
    <w:rsid w:val="00BE087B"/>
    <w:rPr>
      <w:lang w:val="en-US"/>
    </w:rPr>
  </w:style>
  <w:style w:type="character" w:customStyle="1" w:styleId="BalloonTextChar">
    <w:name w:val="Balloon Text Char"/>
    <w:rsid w:val="00BE087B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rsid w:val="00BE087B"/>
    <w:rPr>
      <w:rFonts w:ascii="Cambria" w:eastAsia="Times New Roman" w:hAnsi="Cambria" w:cs="Times New Roman"/>
      <w:b/>
      <w:bCs/>
      <w:kern w:val="1"/>
      <w:sz w:val="32"/>
      <w:szCs w:val="32"/>
      <w:lang w:val="en-US" w:eastAsia="zh-CN"/>
    </w:rPr>
  </w:style>
  <w:style w:type="character" w:customStyle="1" w:styleId="TitleChar">
    <w:name w:val="Title Char"/>
    <w:basedOn w:val="DefaultParagraphFont"/>
    <w:rsid w:val="00BE087B"/>
    <w:rPr>
      <w:rFonts w:ascii="Cambria" w:eastAsia="Times New Roman" w:hAnsi="Cambria" w:cs="Times New Roman"/>
      <w:b/>
      <w:bCs/>
      <w:kern w:val="1"/>
      <w:sz w:val="32"/>
      <w:szCs w:val="32"/>
      <w:lang w:val="en-US" w:eastAsia="zh-CN"/>
    </w:rPr>
  </w:style>
  <w:style w:type="paragraph" w:customStyle="1" w:styleId="Heading">
    <w:name w:val="Heading"/>
    <w:basedOn w:val="Normal"/>
    <w:next w:val="BodyText"/>
    <w:rsid w:val="00BE08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E087B"/>
    <w:pPr>
      <w:spacing w:after="140" w:line="288" w:lineRule="auto"/>
    </w:pPr>
  </w:style>
  <w:style w:type="paragraph" w:styleId="List">
    <w:name w:val="List"/>
    <w:basedOn w:val="BodyText"/>
    <w:rsid w:val="00BE087B"/>
    <w:rPr>
      <w:rFonts w:cs="Arial"/>
    </w:rPr>
  </w:style>
  <w:style w:type="paragraph" w:styleId="Caption">
    <w:name w:val="caption"/>
    <w:basedOn w:val="Normal"/>
    <w:qFormat/>
    <w:rsid w:val="00BE08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BE087B"/>
    <w:pPr>
      <w:suppressLineNumbers/>
    </w:pPr>
    <w:rPr>
      <w:rFonts w:cs="Arial"/>
    </w:rPr>
  </w:style>
  <w:style w:type="paragraph" w:styleId="Header">
    <w:name w:val="header"/>
    <w:basedOn w:val="Normal"/>
    <w:rsid w:val="00BE087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rsid w:val="00BE087B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sid w:val="00BE087B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BE087B"/>
    <w:pPr>
      <w:suppressLineNumbers/>
    </w:pPr>
  </w:style>
  <w:style w:type="paragraph" w:customStyle="1" w:styleId="TableHeading">
    <w:name w:val="Table Heading"/>
    <w:basedOn w:val="TableContents"/>
    <w:rsid w:val="00BE087B"/>
    <w:pPr>
      <w:jc w:val="center"/>
    </w:pPr>
    <w:rPr>
      <w:b/>
      <w:bCs/>
    </w:rPr>
  </w:style>
  <w:style w:type="paragraph" w:styleId="NoSpacing">
    <w:name w:val="No Spacing"/>
    <w:qFormat/>
    <w:rsid w:val="00BE087B"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Title">
    <w:name w:val="Title"/>
    <w:basedOn w:val="Normal"/>
    <w:next w:val="Normal"/>
    <w:qFormat/>
    <w:rsid w:val="00BE087B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table" w:styleId="TableGrid">
    <w:name w:val="Table Grid"/>
    <w:basedOn w:val="TableNormal"/>
    <w:uiPriority w:val="59"/>
    <w:rsid w:val="00595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5D3C1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5D3C1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C27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B512C-1030-411A-AF9C-F9F03EA7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MAKEDONIJA</vt:lpstr>
    </vt:vector>
  </TitlesOfParts>
  <Company>Grizli777</Company>
  <LinksUpToDate>false</LinksUpToDate>
  <CharactersWithSpaces>17295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MAKEDONIJA</dc:title>
  <dc:creator>Ime</dc:creator>
  <cp:lastModifiedBy>PC</cp:lastModifiedBy>
  <cp:revision>9</cp:revision>
  <cp:lastPrinted>2025-12-09T12:21:00Z</cp:lastPrinted>
  <dcterms:created xsi:type="dcterms:W3CDTF">2025-12-01T08:32:00Z</dcterms:created>
  <dcterms:modified xsi:type="dcterms:W3CDTF">2025-12-09T12:22:00Z</dcterms:modified>
</cp:coreProperties>
</file>